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990600</wp:posOffset>
            </wp:positionV>
            <wp:extent cx="6299200" cy="77470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74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4064000</wp:posOffset>
            </wp:positionV>
            <wp:extent cx="6299200" cy="15748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57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5689600</wp:posOffset>
            </wp:positionV>
            <wp:extent cx="6299200" cy="10033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0033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1413"/>
        <w:gridCol w:w="1413"/>
        <w:gridCol w:w="1413"/>
        <w:gridCol w:w="1413"/>
        <w:gridCol w:w="1413"/>
        <w:gridCol w:w="1413"/>
        <w:gridCol w:w="1413"/>
      </w:tblGrid>
      <w:tr>
        <w:trPr>
          <w:trHeight w:hRule="exact" w:val="966"/>
        </w:trPr>
        <w:tc>
          <w:tcPr>
            <w:tcW w:type="dxa" w:w="564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602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310"/>
            <w:gridSpan w:val="6"/>
            <w:tcBorders>
              <w:top w:sz="4.0" w:val="single" w:color="#708095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620" w:after="0"/>
              <w:ind w:left="9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NOUVEAU LOCATAIRE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: N’oubliez pas de mettre vos compteurs d’énergie à votre nom dès la</w:t>
            </w:r>
          </w:p>
        </w:tc>
      </w:tr>
      <w:tr>
        <w:trPr>
          <w:trHeight w:hRule="exact" w:val="1060"/>
        </w:trPr>
        <w:tc>
          <w:tcPr>
            <w:tcW w:type="dxa" w:w="9874"/>
            <w:gridSpan w:val="7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0" w:after="0"/>
              <w:ind w:left="66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signature du bail.</w:t>
            </w:r>
          </w:p>
          <w:p>
            <w:pPr>
              <w:autoSpaceDN w:val="0"/>
              <w:autoSpaceDE w:val="0"/>
              <w:widowControl/>
              <w:spacing w:line="286" w:lineRule="exact" w:before="0" w:after="0"/>
              <w:ind w:left="66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Téléphone démarches : 02 30 95 10 98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(non surtaxé, lundi-vendredi 9h-19h, samedi 10h-17h)</w:t>
            </w:r>
          </w:p>
        </w:tc>
      </w:tr>
      <w:tr>
        <w:trPr>
          <w:trHeight w:hRule="exact" w:val="776"/>
        </w:trPr>
        <w:tc>
          <w:tcPr>
            <w:tcW w:type="dxa" w:w="2524"/>
            <w:gridSpan w:val="2"/>
            <w:tcBorders/>
            <w:shd w:fill="1e5182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30" w:lineRule="exact" w:before="198" w:after="0"/>
              <w:ind w:left="320" w:right="0" w:firstLine="0"/>
              <w:jc w:val="left"/>
            </w:pPr>
            <w:r>
              <w:rPr>
                <w:rFonts w:ascii="Avenir Heavy" w:hAnsi="Avenir Heavy" w:eastAsia="Avenir Heavy"/>
                <w:b/>
                <w:i w:val="0"/>
                <w:color w:val="FFFFFF"/>
                <w:sz w:val="40"/>
              </w:rPr>
              <w:t xml:space="preserve">CONTRAT </w:t>
            </w:r>
          </w:p>
        </w:tc>
        <w:tc>
          <w:tcPr>
            <w:tcW w:type="dxa" w:w="1480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30" w:lineRule="exact" w:before="198" w:after="0"/>
              <w:ind w:left="0" w:right="0" w:firstLine="0"/>
              <w:jc w:val="center"/>
            </w:pPr>
            <w:r>
              <w:rPr>
                <w:rFonts w:ascii="Avenir Heavy" w:hAnsi="Avenir Heavy" w:eastAsia="Avenir Heavy"/>
                <w:b/>
                <w:i w:val="0"/>
                <w:color w:val="FFFFFF"/>
                <w:sz w:val="40"/>
              </w:rPr>
              <w:t xml:space="preserve">TYPE </w:t>
            </w:r>
          </w:p>
        </w:tc>
        <w:tc>
          <w:tcPr>
            <w:tcW w:type="dxa" w:w="1080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30" w:lineRule="exact" w:before="198" w:after="0"/>
              <w:ind w:left="0" w:right="0" w:firstLine="0"/>
              <w:jc w:val="center"/>
            </w:pPr>
            <w:r>
              <w:rPr>
                <w:rFonts w:ascii="Avenir Heavy" w:hAnsi="Avenir Heavy" w:eastAsia="Avenir Heavy"/>
                <w:b/>
                <w:i w:val="0"/>
                <w:color w:val="FFFFFF"/>
                <w:sz w:val="40"/>
              </w:rPr>
              <w:t xml:space="preserve">DE </w:t>
            </w:r>
          </w:p>
        </w:tc>
        <w:tc>
          <w:tcPr>
            <w:tcW w:type="dxa" w:w="2580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30" w:lineRule="exact" w:before="198" w:after="0"/>
              <w:ind w:left="0" w:right="0" w:firstLine="0"/>
              <w:jc w:val="center"/>
            </w:pPr>
            <w:r>
              <w:rPr>
                <w:rFonts w:ascii="Avenir Heavy" w:hAnsi="Avenir Heavy" w:eastAsia="Avenir Heavy"/>
                <w:b/>
                <w:i w:val="0"/>
                <w:color w:val="FFFFFF"/>
                <w:sz w:val="40"/>
              </w:rPr>
              <w:t xml:space="preserve">LOCATION </w:t>
            </w:r>
          </w:p>
        </w:tc>
        <w:tc>
          <w:tcPr>
            <w:tcW w:type="dxa" w:w="1140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30" w:lineRule="exact" w:before="198" w:after="0"/>
              <w:ind w:left="0" w:right="0" w:firstLine="0"/>
              <w:jc w:val="center"/>
            </w:pPr>
            <w:r>
              <w:rPr>
                <w:rFonts w:ascii="Avenir Heavy" w:hAnsi="Avenir Heavy" w:eastAsia="Avenir Heavy"/>
                <w:b/>
                <w:i w:val="0"/>
                <w:color w:val="FFFFFF"/>
                <w:sz w:val="40"/>
              </w:rPr>
              <w:t xml:space="preserve">OU </w:t>
            </w:r>
          </w:p>
        </w:tc>
        <w:tc>
          <w:tcPr>
            <w:tcW w:type="dxa" w:w="1070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30" w:lineRule="exact" w:before="198" w:after="0"/>
              <w:ind w:left="202" w:right="0" w:firstLine="0"/>
              <w:jc w:val="left"/>
            </w:pPr>
            <w:r>
              <w:rPr>
                <w:rFonts w:ascii="Avenir Heavy" w:hAnsi="Avenir Heavy" w:eastAsia="Avenir Heavy"/>
                <w:b/>
                <w:i w:val="0"/>
                <w:color w:val="FFFFFF"/>
                <w:sz w:val="40"/>
              </w:rPr>
              <w:t>DE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784.0" w:type="dxa"/>
      </w:tblPr>
      <w:tblGrid>
        <w:gridCol w:w="9894"/>
      </w:tblGrid>
      <w:tr>
        <w:trPr>
          <w:trHeight w:hRule="exact" w:val="636"/>
        </w:trPr>
        <w:tc>
          <w:tcPr>
            <w:tcW w:type="dxa" w:w="6280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30" w:lineRule="exact" w:before="46" w:after="0"/>
              <w:ind w:left="0" w:right="0" w:firstLine="0"/>
              <w:jc w:val="center"/>
            </w:pPr>
            <w:r>
              <w:rPr>
                <w:rFonts w:ascii="Avenir Heavy" w:hAnsi="Avenir Heavy" w:eastAsia="Avenir Heavy"/>
                <w:b/>
                <w:i w:val="0"/>
                <w:color w:val="FFFFFF"/>
                <w:sz w:val="40"/>
              </w:rPr>
              <w:t>COLOCATION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584.0" w:type="dxa"/>
      </w:tblPr>
      <w:tblGrid>
        <w:gridCol w:w="9894"/>
      </w:tblGrid>
      <w:tr>
        <w:trPr>
          <w:trHeight w:hRule="exact" w:val="492"/>
        </w:trPr>
        <w:tc>
          <w:tcPr>
            <w:tcW w:type="dxa" w:w="6680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72" w:lineRule="exact" w:before="60" w:after="0"/>
              <w:ind w:left="0" w:right="0" w:firstLine="0"/>
              <w:jc w:val="center"/>
            </w:pPr>
            <w:r>
              <w:rPr>
                <w:rFonts w:ascii="Avenir Medium" w:hAnsi="Avenir Medium" w:eastAsia="Avenir Medium"/>
                <w:b w:val="0"/>
                <w:i w:val="0"/>
                <w:color w:val="C88C28"/>
                <w:sz w:val="28"/>
              </w:rPr>
              <w:t>Pour logement non meublé</w:t>
            </w:r>
          </w:p>
        </w:tc>
      </w:tr>
    </w:tbl>
    <w:p>
      <w:pPr>
        <w:autoSpaceDN w:val="0"/>
        <w:autoSpaceDE w:val="0"/>
        <w:widowControl/>
        <w:spacing w:line="6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4.00000000000006" w:type="dxa"/>
      </w:tblPr>
      <w:tblGrid>
        <w:gridCol w:w="9894"/>
      </w:tblGrid>
      <w:tr>
        <w:trPr>
          <w:trHeight w:hRule="exact" w:val="378"/>
        </w:trPr>
        <w:tc>
          <w:tcPr>
            <w:tcW w:type="dxa" w:w="9580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60" w:after="0"/>
              <w:ind w:left="0" w:right="0" w:firstLine="0"/>
              <w:jc w:val="center"/>
            </w:pPr>
            <w:r>
              <w:rPr>
                <w:rFonts w:ascii="Avenir" w:hAnsi="Avenir" w:eastAsia="Avenir"/>
                <w:b w:val="0"/>
                <w:i w:val="0"/>
                <w:color w:val="FFFFFF"/>
                <w:sz w:val="22"/>
              </w:rPr>
              <w:t>(Soumis à la loi n°89-462 du 6 juillet 1989 tendant à améliorer les rapports locatifs et portant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04.00000000000006" w:type="dxa"/>
      </w:tblPr>
      <w:tblGrid>
        <w:gridCol w:w="4947"/>
        <w:gridCol w:w="4947"/>
      </w:tblGrid>
      <w:tr>
        <w:trPr>
          <w:trHeight w:hRule="exact" w:val="1406"/>
        </w:trPr>
        <w:tc>
          <w:tcPr>
            <w:tcW w:type="dxa" w:w="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1078" w:after="0"/>
              <w:ind w:left="0" w:right="0" w:firstLine="0"/>
              <w:jc w:val="center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0" w:lineRule="exact" w:before="26" w:after="0"/>
              <w:ind w:left="1818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FFFFFF"/>
                <w:sz w:val="22"/>
              </w:rPr>
              <w:t>modification de la loi n° 86-1290 du 23 décembre 1986)</w:t>
            </w:r>
          </w:p>
          <w:p>
            <w:pPr>
              <w:autoSpaceDN w:val="0"/>
              <w:autoSpaceDE w:val="0"/>
              <w:widowControl/>
              <w:spacing w:line="288" w:lineRule="exact" w:before="770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Champ du contrat type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: Le présent contrat type de location est applicable aux locations et aux</w:t>
            </w:r>
          </w:p>
        </w:tc>
      </w:tr>
    </w:tbl>
    <w:p>
      <w:pPr>
        <w:autoSpaceDN w:val="0"/>
        <w:tabs>
          <w:tab w:pos="676" w:val="left"/>
        </w:tabs>
        <w:autoSpaceDE w:val="0"/>
        <w:widowControl/>
        <w:spacing w:line="304" w:lineRule="exact" w:before="0" w:after="0"/>
        <w:ind w:left="466" w:right="144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colocations de logement non meublé constituant la résidence principale du preneur, à l’exception :</w:t>
      </w: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des colocations formalisées par la conclusion de plusieurs contrats entre les locataires et le </w:t>
      </w:r>
      <w:r>
        <w:tab/>
      </w:r>
      <w:r>
        <w:rPr>
          <w:rFonts w:ascii="Avenir" w:hAnsi="Avenir" w:eastAsia="Avenir"/>
          <w:b w:val="0"/>
          <w:i w:val="0"/>
          <w:color w:val="000000"/>
          <w:sz w:val="21"/>
        </w:rPr>
        <w:t>bailleur ;</w:t>
      </w:r>
      <w:r>
        <w:br/>
      </w:r>
      <w:r>
        <w:tab/>
      </w:r>
      <w:r>
        <w:rPr>
          <w:rFonts w:ascii="LibertinusSerif" w:hAnsi="LibertinusSerif" w:eastAsia="LibertinusSerif"/>
          <w:b w:val="0"/>
          <w:i w:val="0"/>
          <w:color w:val="000000"/>
          <w:sz w:val="21"/>
        </w:rPr>
        <w:t>‣</w:t>
      </w:r>
      <w:r>
        <w:rPr>
          <w:rFonts w:ascii="Avenir" w:hAnsi="Avenir" w:eastAsia="Avenir"/>
          <w:b w:val="0"/>
          <w:i w:val="0"/>
          <w:color w:val="000000"/>
          <w:sz w:val="21"/>
        </w:rPr>
        <w:t>des locations de logement appartenant à un organisme d’habitation à loyer modéré.</w:t>
      </w:r>
    </w:p>
    <w:p>
      <w:pPr>
        <w:autoSpaceDN w:val="0"/>
        <w:autoSpaceDE w:val="0"/>
        <w:widowControl/>
        <w:spacing w:line="304" w:lineRule="exact" w:before="0" w:after="0"/>
        <w:ind w:left="676" w:right="144" w:firstLine="0"/>
        <w:jc w:val="left"/>
      </w:pPr>
      <w:r>
        <w:rPr>
          <w:rFonts w:ascii="Avenir Black" w:hAnsi="Avenir Black" w:eastAsia="Avenir Black"/>
          <w:b/>
          <w:i w:val="0"/>
          <w:color w:val="000000"/>
          <w:sz w:val="21"/>
        </w:rPr>
        <w:t>Modalités d’application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 : L’ensemble des dispositions étant d’ordre public, elles s’imposent aux </w:t>
      </w:r>
      <w:r>
        <w:rPr>
          <w:rFonts w:ascii="Avenir" w:hAnsi="Avenir" w:eastAsia="Avenir"/>
          <w:b w:val="0"/>
          <w:i w:val="0"/>
          <w:color w:val="000000"/>
          <w:sz w:val="21"/>
        </w:rPr>
        <w:t>parties qui ne peuvent pas y renoncer.</w:t>
      </w:r>
    </w:p>
    <w:p>
      <w:pPr>
        <w:autoSpaceDN w:val="0"/>
        <w:tabs>
          <w:tab w:pos="466" w:val="left"/>
        </w:tabs>
        <w:autoSpaceDE w:val="0"/>
        <w:widowControl/>
        <w:spacing w:line="316" w:lineRule="exact" w:before="410" w:after="812"/>
        <w:ind w:left="214" w:right="1872" w:firstLine="0"/>
        <w:jc w:val="left"/>
      </w:pPr>
      <w:r>
        <w:rPr>
          <w:rFonts w:ascii="LibertinusSerif" w:hAnsi="LibertinusSerif" w:eastAsia="LibertinusSerif"/>
          <w:b/>
          <w:i w:val="0"/>
          <w:color w:val="428BCA"/>
          <w:sz w:val="28"/>
        </w:rPr>
        <w:t>ℹ</w:t>
      </w:r>
      <w:r>
        <w:rPr>
          <w:rFonts w:ascii="Avenir Black" w:hAnsi="Avenir Black" w:eastAsia="Avenir Black"/>
          <w:b/>
          <w:i w:val="0"/>
          <w:color w:val="000000"/>
          <w:sz w:val="21"/>
        </w:rPr>
        <w:t>En conséquence :</w:t>
      </w:r>
      <w:r>
        <w:br/>
      </w: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le présent contrat contient les clauses essentielles imposées par la législation</w:t>
      </w: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les parties restent soumises aux dispositions légales d’ordre public</w:t>
      </w:r>
      <w:r>
        <w:br/>
      </w: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d’autres clauses conformes à la réglementation peuvent être ajoutées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9894"/>
      </w:tblGrid>
      <w:tr>
        <w:trPr>
          <w:trHeight w:hRule="exact" w:val="648"/>
        </w:trPr>
        <w:tc>
          <w:tcPr>
            <w:tcW w:type="dxa" w:w="9864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4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Sommaire</w:t>
            </w:r>
          </w:p>
        </w:tc>
      </w:tr>
    </w:tbl>
    <w:p>
      <w:pPr>
        <w:autoSpaceDN w:val="0"/>
        <w:autoSpaceDE w:val="0"/>
        <w:widowControl/>
        <w:spacing w:line="328" w:lineRule="exact" w:before="168" w:after="0"/>
        <w:ind w:left="0" w:right="24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I)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DÉSIGNATION DES PARTIES . . . . . . . . . . . . . . . . . . . . . . . . . . . . . . . . . . . . . . . . . . . . . . . . . . . . . . . . . . . . . . . . . . . . . . . . . . 2 </w:t>
      </w:r>
      <w:r>
        <w:rPr>
          <w:rFonts w:ascii="Avenir" w:hAnsi="Avenir" w:eastAsia="Avenir"/>
          <w:b w:val="0"/>
          <w:i w:val="0"/>
          <w:color w:val="000000"/>
          <w:sz w:val="21"/>
        </w:rPr>
        <w:t>II)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OBJET DU CONTRAT . . . . . . . . . . . . . . . . . . . . . . . . . . . . . . . . . . . . . . . . . . . . . . . . . . . . . . . . . . . . . . . . . . . . . . . . . . . . . . . . . 3 </w:t>
      </w:r>
      <w:r>
        <w:rPr>
          <w:rFonts w:ascii="Avenir" w:hAnsi="Avenir" w:eastAsia="Avenir"/>
          <w:b w:val="0"/>
          <w:i w:val="0"/>
          <w:color w:val="000000"/>
          <w:sz w:val="21"/>
        </w:rPr>
        <w:t>II.1)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Consistance du logement . . . . . . . . . . . . . . . . . . . . . . . . . . . . . . . . . . . . . . . . . . . . . . . . . . . . . . . . . . . . . . . . . . . . . . . . 3 </w:t>
      </w:r>
      <w:r>
        <w:rPr>
          <w:rFonts w:ascii="Avenir" w:hAnsi="Avenir" w:eastAsia="Avenir"/>
          <w:b w:val="0"/>
          <w:i w:val="0"/>
          <w:color w:val="000000"/>
          <w:sz w:val="21"/>
        </w:rPr>
        <w:t>II.2)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Destination des locaux . . . . . . . . . . . . . . . . . . . . . . . . . . . . . . . . . . . . . . . . . . . . . . . . . . . . . . . . . . . . . . . . . . . . . . . . . . . 4 </w:t>
      </w:r>
      <w:r>
        <w:rPr>
          <w:rFonts w:ascii="Avenir" w:hAnsi="Avenir" w:eastAsia="Avenir"/>
          <w:b w:val="0"/>
          <w:i w:val="0"/>
          <w:color w:val="000000"/>
          <w:sz w:val="21"/>
        </w:rPr>
        <w:t>II.3)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Services de l’immeuble . . . . . . . . . . . . . . . . . . . . . . . . . . . . . . . . . . . . . . . . . . . . . . . . . . . . . . . . . . . . . . . . . . . . . . . . . . 4 </w:t>
      </w:r>
      <w:r>
        <w:rPr>
          <w:rFonts w:ascii="Avenir" w:hAnsi="Avenir" w:eastAsia="Avenir"/>
          <w:b w:val="0"/>
          <w:i w:val="0"/>
          <w:color w:val="000000"/>
          <w:sz w:val="21"/>
        </w:rPr>
        <w:t>III)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DATE DE PRISE D’EFFET ET DURÉE DU CONTRAT . . . . . . . . . . . . . . . . . . . . . . . . . . . . . . . . . . . . . . . . . . . . . . . . . . 4 </w:t>
      </w:r>
      <w:r>
        <w:rPr>
          <w:rFonts w:ascii="Avenir" w:hAnsi="Avenir" w:eastAsia="Avenir"/>
          <w:b w:val="0"/>
          <w:i w:val="0"/>
          <w:color w:val="000000"/>
          <w:sz w:val="21"/>
        </w:rPr>
        <w:t>IV)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CONDITIONS FINANCIÈRES . . . . . . . . . . . . . . . . . . . . . . . . . . . . . . . . . . . . . . . . . . . . . . . . . . . . . . . . . . . . . . . . . . . . . . . . . 5 </w:t>
      </w:r>
      <w:r>
        <w:rPr>
          <w:rFonts w:ascii="Avenir" w:hAnsi="Avenir" w:eastAsia="Avenir"/>
          <w:b w:val="0"/>
          <w:i w:val="0"/>
          <w:color w:val="000000"/>
          <w:sz w:val="21"/>
        </w:rPr>
        <w:t>IV.1)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A. LOYER . . . . . . . . . . . . . . . . . . . . . . . . . . . . . . . . . . . . . . . . . . . . . . . . . . . . . . . . . . . . . . . . . . . . . . . . . . . . . . . . . . . . . . . . 5 </w:t>
      </w:r>
      <w:r>
        <w:rPr>
          <w:rFonts w:ascii="Avenir" w:hAnsi="Avenir" w:eastAsia="Avenir"/>
          <w:b w:val="0"/>
          <w:i w:val="0"/>
          <w:color w:val="000000"/>
          <w:sz w:val="21"/>
        </w:rPr>
        <w:t>IV.2)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B. CHARGES RÉCUPÉRABLES . . . . . . . . . . . . . . . . . . . . . . . . . . . . . . . . . . . . . . . . . . . . . . . . . . . . . . . . . . . . . . . . . . 6 </w:t>
      </w:r>
      <w:r>
        <w:rPr>
          <w:rFonts w:ascii="Avenir" w:hAnsi="Avenir" w:eastAsia="Avenir"/>
          <w:b w:val="0"/>
          <w:i w:val="0"/>
          <w:color w:val="000000"/>
          <w:sz w:val="21"/>
        </w:rPr>
        <w:t>IV.3)</w:t>
      </w:r>
      <w:r>
        <w:rPr>
          <w:rFonts w:ascii="Avenir" w:hAnsi="Avenir" w:eastAsia="Avenir"/>
          <w:b w:val="0"/>
          <w:i w:val="0"/>
          <w:color w:val="000000"/>
          <w:sz w:val="21"/>
        </w:rPr>
        <w:t>C. CONTRIBUTION POUR LE PARTAGE DES ÉCONOMIES DE CHARGES . . . . . . . . . . . . . . . . . . . . . 7</w:t>
      </w:r>
    </w:p>
    <w:p>
      <w:pPr>
        <w:autoSpaceDN w:val="0"/>
        <w:autoSpaceDE w:val="0"/>
        <w:widowControl/>
        <w:spacing w:line="278" w:lineRule="exact" w:before="376" w:after="0"/>
        <w:ind w:left="0" w:right="24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</w:t>
      </w:r>
    </w:p>
    <w:p>
      <w:pPr>
        <w:sectPr>
          <w:pgSz w:w="11906" w:h="16838"/>
          <w:pgMar w:top="412" w:right="996" w:bottom="446" w:left="101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</w:p>
    <w:p>
      <w:pPr>
        <w:autoSpaceDN w:val="0"/>
        <w:autoSpaceDE w:val="0"/>
        <w:widowControl/>
        <w:spacing w:line="218" w:lineRule="exact" w:before="0" w:after="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p>
      <w:pPr>
        <w:autoSpaceDN w:val="0"/>
        <w:autoSpaceDE w:val="0"/>
        <w:widowControl/>
        <w:spacing w:line="328" w:lineRule="exact" w:before="432" w:after="352"/>
        <w:ind w:left="0" w:right="3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IV.4)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D. ASSURANCE POUR LE COMPTE DES COLOCATAIRES . . . . . . . . . . . . . . . . . . . . . . . . . . . . . . . . . . . . . 7 </w:t>
      </w:r>
      <w:r>
        <w:rPr>
          <w:rFonts w:ascii="Avenir" w:hAnsi="Avenir" w:eastAsia="Avenir"/>
          <w:b w:val="0"/>
          <w:i w:val="0"/>
          <w:color w:val="000000"/>
          <w:sz w:val="21"/>
        </w:rPr>
        <w:t>IV.5)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E. MODALITÉS DE PAIEMENT . . . . . . . . . . . . . . . . . . . . . . . . . . . . . . . . . . . . . . . . . . . . . . . . . . . . . . . . . . . . . . . . . . 7 </w:t>
      </w:r>
      <w:r>
        <w:rPr>
          <w:rFonts w:ascii="Avenir" w:hAnsi="Avenir" w:eastAsia="Avenir"/>
          <w:b w:val="0"/>
          <w:i w:val="0"/>
          <w:color w:val="000000"/>
          <w:sz w:val="21"/>
        </w:rPr>
        <w:t>IV.6)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F. DÉPENSES ÉNERGÉTIQUES (POUR INFORMATION) . . . . . . . . . . . . . . . . . . . . . . . . . . . . . . . . . . . . . . . . . 8 </w:t>
      </w:r>
      <w:r>
        <w:rPr>
          <w:rFonts w:ascii="Avenir" w:hAnsi="Avenir" w:eastAsia="Avenir"/>
          <w:b w:val="0"/>
          <w:i w:val="0"/>
          <w:color w:val="000000"/>
          <w:sz w:val="21"/>
        </w:rPr>
        <w:t>V)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GARANTIES . . . . . . . . . . . . . . . . . . . . . . . . . . . . . . . . . . . . . . . . . . . . . . . . . . . . . . . . . . . . . . . . . . . . . . . . . . . . . . . . . . . . . . . . . . . 8 </w:t>
      </w:r>
      <w:r>
        <w:rPr>
          <w:rFonts w:ascii="Avenir" w:hAnsi="Avenir" w:eastAsia="Avenir"/>
          <w:b w:val="0"/>
          <w:i w:val="0"/>
          <w:color w:val="000000"/>
          <w:sz w:val="21"/>
        </w:rPr>
        <w:t>V.1)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A. DÉPÔT DE GARANTIE . . . . . . . . . . . . . . . . . . . . . . . . . . . . . . . . . . . . . . . . . . . . . . . . . . . . . . . . . . . . . . . . . . . . . . . . 9 </w:t>
      </w:r>
      <w:r>
        <w:rPr>
          <w:rFonts w:ascii="Avenir" w:hAnsi="Avenir" w:eastAsia="Avenir"/>
          <w:b w:val="0"/>
          <w:i w:val="0"/>
          <w:color w:val="000000"/>
          <w:sz w:val="21"/>
        </w:rPr>
        <w:t>VI)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CLAUSE DE SOLIDARITÉ . . . . . . . . . . . . . . . . . . . . . . . . . . . . . . . . . . . . . . . . . . . . . . . . . . . . . . . . . . . . . . . . . . . . . . . . . . . . . 9 </w:t>
      </w:r>
      <w:r>
        <w:rPr>
          <w:rFonts w:ascii="Avenir" w:hAnsi="Avenir" w:eastAsia="Avenir"/>
          <w:b w:val="0"/>
          <w:i w:val="0"/>
          <w:color w:val="000000"/>
          <w:sz w:val="21"/>
        </w:rPr>
        <w:t>VII)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CLAUSE RÉSOLUTOIRE . . . . . . . . . . . . . . . . . . . . . . . . . . . . . . . . . . . . . . . . . . . . . . . . . . . . . . . . . . . . . . . . . . . . . . . . . . . . . . 9 </w:t>
      </w:r>
      <w:r>
        <w:rPr>
          <w:rFonts w:ascii="Avenir" w:hAnsi="Avenir" w:eastAsia="Avenir"/>
          <w:b w:val="0"/>
          <w:i w:val="0"/>
          <w:color w:val="000000"/>
          <w:sz w:val="21"/>
        </w:rPr>
        <w:t>VIII)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LE CAS ÉCHÉANT, HONORAIRES DE LOCATION . . . . . . . . . . . . . . . . . . . . . . . . . . . . . . . . . . . . . . . . . . . . . . . . . 10 </w:t>
      </w:r>
      <w:r>
        <w:rPr>
          <w:rFonts w:ascii="Avenir" w:hAnsi="Avenir" w:eastAsia="Avenir"/>
          <w:b w:val="0"/>
          <w:i w:val="0"/>
          <w:color w:val="000000"/>
          <w:sz w:val="21"/>
        </w:rPr>
        <w:t>VIII.1)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A. DISPOSITIONS APPLICABLES . . . . . . . . . . . . . . . . . . . . . . . . . . . . . . . . . . . . . . . . . . . . . . . . . . . . . . . . . . . . . 10 </w:t>
      </w:r>
      <w:r>
        <w:rPr>
          <w:rFonts w:ascii="Avenir" w:hAnsi="Avenir" w:eastAsia="Avenir"/>
          <w:b w:val="0"/>
          <w:i w:val="0"/>
          <w:color w:val="000000"/>
          <w:sz w:val="21"/>
        </w:rPr>
        <w:t>VIII.2)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B. PLAFONDS RÉGLEMENTAIRES APPLICABLES . . . . . . . . . . . . . . . . . . . . . . . . . . . . . . . . . . . . . . . . . . . . 11 </w:t>
      </w:r>
      <w:r>
        <w:rPr>
          <w:rFonts w:ascii="Avenir" w:hAnsi="Avenir" w:eastAsia="Avenir"/>
          <w:b w:val="0"/>
          <w:i w:val="0"/>
          <w:color w:val="000000"/>
          <w:sz w:val="21"/>
        </w:rPr>
        <w:t>VIII.3)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C. DÉTAIL ET RÉPARTITION DES HONORAIRES . . . . . . . . . . . . . . . . . . . . . . . . . . . . . . . . . . . . . . . . . . . . . 11 </w:t>
      </w:r>
      <w:r>
        <w:rPr>
          <w:rFonts w:ascii="Avenir" w:hAnsi="Avenir" w:eastAsia="Avenir"/>
          <w:b w:val="0"/>
          <w:i w:val="0"/>
          <w:color w:val="000000"/>
          <w:sz w:val="21"/>
        </w:rPr>
        <w:t>VIII.4)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D. INFORMATIONS COMPLÉMENTAIRES . . . . . . . . . . . . . . . . . . . . . . . . . . . . . . . . . . . . . . . . . . . . . . . . . . . 12 </w:t>
      </w:r>
      <w:r>
        <w:rPr>
          <w:rFonts w:ascii="Avenir" w:hAnsi="Avenir" w:eastAsia="Avenir"/>
          <w:b w:val="0"/>
          <w:i w:val="0"/>
          <w:color w:val="000000"/>
          <w:sz w:val="21"/>
        </w:rPr>
        <w:t>IX)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AUTRES CONDITIONS PARTICULIÈRES . . . . . . . . . . . . . . . . . . . . . . . . . . . . . . . . . . . . . . . . . . . . . . . . . . . . . . . . . . . . 12 </w:t>
      </w:r>
      <w:r>
        <w:rPr>
          <w:rFonts w:ascii="Avenir" w:hAnsi="Avenir" w:eastAsia="Avenir"/>
          <w:b w:val="0"/>
          <w:i w:val="0"/>
          <w:color w:val="000000"/>
          <w:sz w:val="21"/>
        </w:rPr>
        <w:t>IX.1)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A. DROIT DE VISITE DU BAILLEUR . . . . . . . . . . . . . . . . . . . . . . . . . . . . . . . . . . . . . . . . . . . . . . . . . . . . . . . . . . . . 12 </w:t>
      </w:r>
      <w:r>
        <w:rPr>
          <w:rFonts w:ascii="Avenir" w:hAnsi="Avenir" w:eastAsia="Avenir"/>
          <w:b w:val="0"/>
          <w:i w:val="0"/>
          <w:color w:val="000000"/>
          <w:sz w:val="21"/>
        </w:rPr>
        <w:t>IX.2)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B. MODALITÉS DE PAIEMENT PARTICULIÈRES . . . . . . . . . . . . . . . . . . . . . . . . . . . . . . . . . . . . . . . . . . . . . . . 12 </w:t>
      </w:r>
      <w:r>
        <w:rPr>
          <w:rFonts w:ascii="Avenir" w:hAnsi="Avenir" w:eastAsia="Avenir"/>
          <w:b w:val="0"/>
          <w:i w:val="0"/>
          <w:color w:val="000000"/>
          <w:sz w:val="21"/>
        </w:rPr>
        <w:t>IX.3)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C. ÉQUIPEMENTS ESSENTIELS . . . . . . . . . . . . . . . . . . . . . . . . . . . . . . . . . . . . . . . . . . . . . . . . . . . . . . . . . . . . . . . 13 </w:t>
      </w:r>
      <w:r>
        <w:rPr>
          <w:rFonts w:ascii="Avenir" w:hAnsi="Avenir" w:eastAsia="Avenir"/>
          <w:b w:val="0"/>
          <w:i w:val="0"/>
          <w:color w:val="000000"/>
          <w:sz w:val="21"/>
        </w:rPr>
        <w:t>IX.4)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D. FRANCHISE DE LOYER . . . . . . . . . . . . . . . . . . . . . . . . . . . . . . . . . . . . . . . . . . . . . . . . . . . . . . . . . . . . . . . . . . . . . 13 </w:t>
      </w:r>
      <w:r>
        <w:rPr>
          <w:rFonts w:ascii="Avenir" w:hAnsi="Avenir" w:eastAsia="Avenir"/>
          <w:b w:val="0"/>
          <w:i w:val="0"/>
          <w:color w:val="000000"/>
          <w:sz w:val="21"/>
        </w:rPr>
        <w:t>IX.5)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E. CONDITIONS PARTICULIÈRES COMPLÉMENTAIRES . . . . . . . . . . . . . . . . . . . . . . . . . . . . . . . . . . . . . . 13 </w:t>
      </w:r>
      <w:r>
        <w:rPr>
          <w:rFonts w:ascii="Avenir" w:hAnsi="Avenir" w:eastAsia="Avenir"/>
          <w:b w:val="0"/>
          <w:i w:val="0"/>
          <w:color w:val="000000"/>
          <w:sz w:val="21"/>
        </w:rPr>
        <w:t>X)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CAUTIONNEMENT . . . . . . . . . . . . . . . . . . . . . . . . . . . . . . . . . . . . . . . . . . . . . . . . . . . . . . . . . . . . . . . . . . . . . . . . . . . . . . . . . . 14 </w:t>
      </w:r>
      <w:r>
        <w:rPr>
          <w:rFonts w:ascii="Avenir" w:hAnsi="Avenir" w:eastAsia="Avenir"/>
          <w:b w:val="0"/>
          <w:i w:val="0"/>
          <w:color w:val="000000"/>
          <w:sz w:val="21"/>
        </w:rPr>
        <w:t>XI)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ANNEXES . . . . . . . . . . . . . . . . . . . . . . . . . . . . . . . . . . . . . . . . . . . . . . . . . . . . . . . . . . . . . . . . . . . . . . . . . . . . . . . . . . . . . . . . . . . 14 </w:t>
      </w:r>
      <w:r>
        <w:rPr>
          <w:rFonts w:ascii="Avenir" w:hAnsi="Avenir" w:eastAsia="Avenir"/>
          <w:b w:val="0"/>
          <w:i w:val="0"/>
          <w:color w:val="000000"/>
          <w:sz w:val="21"/>
        </w:rPr>
        <w:t>XI.1)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A. RÈGLEMENT DE COPROPRIÉTÉ . . . . . . . . . . . . . . . . . . . . . . . . . . . . . . . . . . . . . . . . . . . . . . . . . . . . . . . . . . . 14 </w:t>
      </w:r>
      <w:r>
        <w:rPr>
          <w:rFonts w:ascii="Avenir" w:hAnsi="Avenir" w:eastAsia="Avenir"/>
          <w:b w:val="0"/>
          <w:i w:val="0"/>
          <w:color w:val="000000"/>
          <w:sz w:val="21"/>
        </w:rPr>
        <w:t>XI.2)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B. DOSSIER DE DIAGNOSTIC TECHNIQUE . . . . . . . . . . . . . . . . . . . . . . . . . . . . . . . . . . . . . . . . . . . . . . . . . . . 15 </w:t>
      </w:r>
      <w:r>
        <w:rPr>
          <w:rFonts w:ascii="Avenir" w:hAnsi="Avenir" w:eastAsia="Avenir"/>
          <w:b w:val="0"/>
          <w:i w:val="0"/>
          <w:color w:val="000000"/>
          <w:sz w:val="21"/>
        </w:rPr>
        <w:t>XI.3)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C. NOTICE D’INFORMATION . . . . . . . . . . . . . . . . . . . . . . . . . . . . . . . . . . . . . . . . . . . . . . . . . . . . . . . . . . . . . . . . . 15 </w:t>
      </w:r>
      <w:r>
        <w:rPr>
          <w:rFonts w:ascii="Avenir" w:hAnsi="Avenir" w:eastAsia="Avenir"/>
          <w:b w:val="0"/>
          <w:i w:val="0"/>
          <w:color w:val="000000"/>
          <w:sz w:val="21"/>
        </w:rPr>
        <w:t>XI.4)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D. ÉTAT DES LIEUX ET INVENTAIRE . . . . . . . . . . . . . . . . . . . . . . . . . . . . . . . . . . . . . . . . . . . . . . . . . . . . . . . . . . . 16 </w:t>
      </w:r>
      <w:r>
        <w:rPr>
          <w:rFonts w:ascii="Avenir" w:hAnsi="Avenir" w:eastAsia="Avenir"/>
          <w:b w:val="0"/>
          <w:i w:val="0"/>
          <w:color w:val="000000"/>
          <w:sz w:val="21"/>
        </w:rPr>
        <w:t>XI.5)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E. DOCUMENTS CONDITIONNELS . . . . . . . . . . . . . . . . . . . . . . . . . . . . . . . . . . . . . . . . . . . . . . . . . . . . . . . . . . . 16 </w:t>
      </w:r>
      <w:r>
        <w:rPr>
          <w:rFonts w:ascii="Avenir" w:hAnsi="Avenir" w:eastAsia="Avenir"/>
          <w:b w:val="0"/>
          <w:i w:val="0"/>
          <w:color w:val="000000"/>
          <w:sz w:val="21"/>
        </w:rPr>
        <w:t>XII)</w:t>
      </w:r>
      <w:r>
        <w:rPr>
          <w:rFonts w:ascii="Avenir" w:hAnsi="Avenir" w:eastAsia="Avenir"/>
          <w:b w:val="0"/>
          <w:i w:val="0"/>
          <w:color w:val="000000"/>
          <w:sz w:val="21"/>
        </w:rPr>
        <w:t>SIGNATURES . . . . . . . . . . . . . . . . . . . . . . . . . . . . . . . . . . . . . . . . . . . . . . . . . . . . . . . . . . . . . . . . . . . . . . . . . . . . . . . . . . . . . . . 17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26"/>
      </w:tblGrid>
      <w:tr>
        <w:trPr>
          <w:trHeight w:hRule="exact" w:val="626"/>
        </w:trPr>
        <w:tc>
          <w:tcPr>
            <w:tcW w:type="dxa" w:w="9864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I) DÉSIGNATION DES PARTIES</w:t>
            </w:r>
          </w:p>
        </w:tc>
      </w:tr>
    </w:tbl>
    <w:p>
      <w:pPr>
        <w:autoSpaceDN w:val="0"/>
        <w:autoSpaceDE w:val="0"/>
        <w:widowControl/>
        <w:spacing w:line="14" w:lineRule="exact" w:before="0" w:after="280"/>
        <w:ind w:left="0" w:right="0"/>
      </w:pPr>
    </w:p>
    <w:p>
      <w:pPr>
        <w:sectPr>
          <w:pgSz w:w="11906" w:h="16838"/>
          <w:pgMar w:top="412" w:right="990" w:bottom="446" w:left="990" w:header="720" w:footer="720" w:gutter="0"/>
          <w:cols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26"/>
      </w:tblGrid>
      <w:tr>
        <w:trPr>
          <w:trHeight w:hRule="exact" w:val="362"/>
        </w:trPr>
        <w:tc>
          <w:tcPr>
            <w:tcW w:type="dxa" w:w="4642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4642"/>
            </w:tblGrid>
            <w:tr>
              <w:trPr>
                <w:trHeight w:hRule="exact" w:val="342"/>
              </w:trPr>
              <w:tc>
                <w:tcPr>
                  <w:tcW w:type="dxa" w:w="156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Le Bailleur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92"/>
        </w:trPr>
        <w:tc>
          <w:tcPr>
            <w:tcW w:type="dxa" w:w="4642"/>
            <w:tcBorders>
              <w:bottom w:sz="8.0" w:val="single" w:color="#545D63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0.0" w:type="dxa"/>
      </w:tblPr>
      <w:tblGrid>
        <w:gridCol w:w="9926"/>
      </w:tblGrid>
      <w:tr>
        <w:trPr>
          <w:trHeight w:hRule="exact" w:val="80"/>
        </w:trPr>
        <w:tc>
          <w:tcPr>
            <w:tcW w:type="dxa" w:w="4642"/>
            <w:tcBorders/>
            <w:shd w:fill="f7f9f9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508"/>
        </w:trPr>
        <w:tc>
          <w:tcPr>
            <w:tcW w:type="dxa" w:w="4642"/>
            <w:tcBorders>
              <w:end w:sz="8.0" w:val="single" w:color="#545D63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82" w:after="0"/>
              <w:ind w:left="130" w:right="3312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Nom :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Prénom :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Domicile :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Téléphone :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Email :</w:t>
            </w:r>
          </w:p>
        </w:tc>
      </w:tr>
      <w:tr>
        <w:trPr>
          <w:trHeight w:hRule="exact" w:val="80"/>
        </w:trPr>
        <w:tc>
          <w:tcPr>
            <w:tcW w:type="dxa" w:w="4642"/>
            <w:tcBorders>
              <w:bottom w:sz="8.0" w:val="single" w:color="#545D63"/>
            </w:tcBorders>
            <w:shd w:fill="f7f9f9"/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72" w:lineRule="exact" w:before="172" w:after="0"/>
        <w:ind w:left="874" w:right="0" w:firstLine="0"/>
        <w:jc w:val="left"/>
      </w:pPr>
      <w:r>
        <w:rPr>
          <w:rFonts w:ascii="Avenir" w:hAnsi="Avenir" w:eastAsia="Avenir"/>
          <w:b w:val="0"/>
          <w:i/>
          <w:color w:val="555D64"/>
          <w:sz w:val="20"/>
        </w:rPr>
        <w:t xml:space="preserve">Ci-après dénommé </w:t>
      </w:r>
      <w:r>
        <w:rPr>
          <w:rFonts w:ascii="Avenir Black Oblique" w:hAnsi="Avenir Black Oblique" w:eastAsia="Avenir Black Oblique"/>
          <w:b/>
          <w:i/>
          <w:color w:val="555D64"/>
          <w:sz w:val="20"/>
        </w:rPr>
        <w:t>« le Bailleur »</w:t>
      </w:r>
    </w:p>
    <w:p>
      <w:pPr>
        <w:sectPr>
          <w:type w:val="continuous"/>
          <w:pgSz w:w="11906" w:h="16838"/>
          <w:pgMar w:top="412" w:right="990" w:bottom="446" w:left="990" w:header="720" w:footer="720" w:gutter="0"/>
          <w:cols w:num="2" w:equalWidth="0">
            <w:col w:w="4952" w:space="0"/>
            <w:col w:w="4973" w:space="0"/>
          </w:cols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20.0" w:type="dxa"/>
      </w:tblPr>
      <w:tblGrid>
        <w:gridCol w:w="9926"/>
      </w:tblGrid>
      <w:tr>
        <w:trPr>
          <w:trHeight w:hRule="exact" w:val="362"/>
        </w:trPr>
        <w:tc>
          <w:tcPr>
            <w:tcW w:type="dxa" w:w="4644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4644"/>
            </w:tblGrid>
            <w:tr>
              <w:trPr>
                <w:trHeight w:hRule="exact" w:val="342"/>
              </w:trPr>
              <w:tc>
                <w:tcPr>
                  <w:tcW w:type="dxa" w:w="228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Le(s) Locataire(s)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92"/>
        </w:trPr>
        <w:tc>
          <w:tcPr>
            <w:tcW w:type="dxa" w:w="4644"/>
            <w:tcBorders>
              <w:bottom w:sz="8.0" w:val="single" w:color="#545D63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0.0" w:type="dxa"/>
      </w:tblPr>
      <w:tblGrid>
        <w:gridCol w:w="9926"/>
      </w:tblGrid>
      <w:tr>
        <w:trPr>
          <w:trHeight w:hRule="exact" w:val="80"/>
        </w:trPr>
        <w:tc>
          <w:tcPr>
            <w:tcW w:type="dxa" w:w="4644"/>
            <w:tcBorders/>
            <w:shd w:fill="f7f9f9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232"/>
        </w:trPr>
        <w:tc>
          <w:tcPr>
            <w:tcW w:type="dxa" w:w="4644"/>
            <w:tcBorders>
              <w:end w:sz="8.0" w:val="single" w:color="#545D63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82" w:after="0"/>
              <w:ind w:left="130" w:right="2592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Colocataire 1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Nom :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Prénom :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Né(e) le :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à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Téléphone :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Email :</w:t>
            </w:r>
          </w:p>
        </w:tc>
      </w:tr>
      <w:tr>
        <w:trPr>
          <w:trHeight w:hRule="exact" w:val="80"/>
        </w:trPr>
        <w:tc>
          <w:tcPr>
            <w:tcW w:type="dxa" w:w="4644"/>
            <w:tcBorders>
              <w:bottom w:sz="8.0" w:val="single" w:color="#545D63"/>
            </w:tcBorders>
            <w:shd w:fill="f7f9f9"/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8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0.0" w:type="dxa"/>
      </w:tblPr>
      <w:tblGrid>
        <w:gridCol w:w="9926"/>
      </w:tblGrid>
      <w:tr>
        <w:trPr>
          <w:trHeight w:hRule="exact" w:val="1314"/>
        </w:trPr>
        <w:tc>
          <w:tcPr>
            <w:tcW w:type="dxa" w:w="4564"/>
            <w:tcBorders>
              <w:top w:sz="8.0" w:val="single" w:color="#545D63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152" w:after="0"/>
              <w:ind w:left="130" w:right="2448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Colocataire 2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Nom :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Prénom :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Né(e) le :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à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Téléphone :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Email :</w:t>
            </w:r>
          </w:p>
        </w:tc>
      </w:tr>
      <w:tr>
        <w:trPr>
          <w:trHeight w:hRule="exact" w:val="80"/>
        </w:trPr>
        <w:tc>
          <w:tcPr>
            <w:tcW w:type="dxa" w:w="4564"/>
            <w:tcBorders>
              <w:bottom w:sz="8.0" w:val="single" w:color="#545D63"/>
            </w:tcBorders>
            <w:shd w:fill="f7f9f9"/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78" w:lineRule="exact" w:before="760" w:after="0"/>
        <w:ind w:left="0" w:right="3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2</w:t>
      </w:r>
    </w:p>
    <w:p>
      <w:pPr>
        <w:sectPr>
          <w:type w:val="nextColumn"/>
          <w:pgSz w:w="11906" w:h="16838"/>
          <w:pgMar w:top="412" w:right="990" w:bottom="446" w:left="990" w:header="720" w:footer="720" w:gutter="0"/>
          <w:cols w:num="2" w:equalWidth="0">
            <w:col w:w="4952" w:space="0"/>
            <w:col w:w="4973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2362200</wp:posOffset>
            </wp:positionV>
            <wp:extent cx="6299200" cy="5588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58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9966"/>
      </w:tblGrid>
      <w:tr>
        <w:trPr>
          <w:trHeight w:hRule="exact" w:val="1790"/>
        </w:trPr>
        <w:tc>
          <w:tcPr>
            <w:tcW w:type="dxa" w:w="9874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6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226.0" w:type="dxa"/>
            </w:tblPr>
            <w:tblGrid>
              <w:gridCol w:w="9874"/>
            </w:tblGrid>
            <w:tr>
              <w:trPr>
                <w:trHeight w:hRule="exact" w:val="1292"/>
              </w:trPr>
              <w:tc>
                <w:tcPr>
                  <w:tcW w:type="dxa" w:w="4564"/>
                  <w:tcBorders>
                    <w:top w:sz="8.0" w:val="single" w:color="#545D63"/>
                  </w:tcBorders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74" w:lineRule="exact" w:before="150" w:after="0"/>
                    <w:ind w:left="130" w:right="1872" w:firstLine="0"/>
                    <w:jc w:val="left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 xml:space="preserve">Colocataire 3 (optionnel) </w:t>
                  </w: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Nom :</w:t>
                  </w: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 xml:space="preserve">Prénom : </w:t>
                  </w:r>
                  <w:r>
                    <w:br/>
                  </w: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Né(e) le :</w:t>
                  </w:r>
                  <w:r>
                    <w:rPr>
                      <w:rFonts w:ascii="Avenir" w:hAnsi="Avenir" w:eastAsia="Avenir"/>
                      <w:b w:val="0"/>
                      <w:i w:val="0"/>
                      <w:color w:val="000000"/>
                      <w:sz w:val="21"/>
                    </w:rPr>
                    <w:t xml:space="preserve"> à</w:t>
                  </w:r>
                  <w:r>
                    <w:br/>
                  </w: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Téléphone :</w:t>
                  </w: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Email :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80"/>
        </w:trPr>
        <w:tc>
          <w:tcPr>
            <w:tcW w:type="dxa" w:w="9874"/>
            <w:tcBorders>
              <w:bottom w:sz="8.0" w:val="single" w:color="#545D63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74" w:lineRule="exact" w:before="166" w:after="386"/>
        <w:ind w:left="0" w:right="824" w:firstLine="0"/>
        <w:jc w:val="right"/>
      </w:pPr>
      <w:r>
        <w:rPr>
          <w:rFonts w:ascii="Avenir" w:hAnsi="Avenir" w:eastAsia="Avenir"/>
          <w:b w:val="0"/>
          <w:i/>
          <w:color w:val="555D64"/>
          <w:sz w:val="20"/>
        </w:rPr>
        <w:t xml:space="preserve">Ci-après dénommé </w:t>
      </w:r>
      <w:r>
        <w:rPr>
          <w:rFonts w:ascii="Avenir Black Oblique" w:hAnsi="Avenir Black Oblique" w:eastAsia="Avenir Black Oblique"/>
          <w:b/>
          <w:i/>
          <w:color w:val="555D64"/>
          <w:sz w:val="20"/>
        </w:rPr>
        <w:t>« le Locataire »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1182"/>
        </w:trPr>
        <w:tc>
          <w:tcPr>
            <w:tcW w:type="dxa" w:w="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8" w:lineRule="exact" w:before="60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50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8" w:after="0"/>
              <w:ind w:left="102" w:right="72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Il a été convenu ce qui suit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présent contrat est conclu directement entre le bailleur et le locataire sans intermédiaire.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646"/>
        </w:trPr>
        <w:tc>
          <w:tcPr>
            <w:tcW w:type="dxa" w:w="9864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II) OBJET DU CONTRAT</w:t>
            </w:r>
          </w:p>
        </w:tc>
      </w:tr>
    </w:tbl>
    <w:p>
      <w:pPr>
        <w:autoSpaceDN w:val="0"/>
        <w:autoSpaceDE w:val="0"/>
        <w:widowControl/>
        <w:spacing w:line="278" w:lineRule="exact" w:before="220" w:after="324"/>
        <w:ind w:left="40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Le présent contrat a pour objet la location d’un logement ainsi déterminé :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2"/>
        </w:trPr>
        <w:tc>
          <w:tcPr>
            <w:tcW w:type="dxa" w:w="9706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06"/>
            </w:tblGrid>
            <w:tr>
              <w:trPr>
                <w:trHeight w:hRule="exact" w:val="342"/>
              </w:trPr>
              <w:tc>
                <w:tcPr>
                  <w:tcW w:type="dxa" w:w="3748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II.1) Consistance du logement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92"/>
        </w:trPr>
        <w:tc>
          <w:tcPr>
            <w:tcW w:type="dxa" w:w="9706"/>
            <w:tcBorders>
              <w:bottom w:sz="16.0" w:val="single" w:color="#1E5182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634"/>
        </w:trPr>
        <w:tc>
          <w:tcPr>
            <w:tcW w:type="dxa" w:w="9864"/>
            <w:tcBorders/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234" w:after="0"/>
              <w:ind w:left="606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8"/>
              </w:rPr>
              <w:t>ADRESSE DU LOGEMENT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0.0" w:type="dxa"/>
      </w:tblPr>
      <w:tblGrid>
        <w:gridCol w:w="9966"/>
      </w:tblGrid>
      <w:tr>
        <w:trPr>
          <w:trHeight w:hRule="exact" w:val="572"/>
        </w:trPr>
        <w:tc>
          <w:tcPr>
            <w:tcW w:type="dxa" w:w="9546"/>
            <w:tcBorders>
              <w:bottom w:sz="16.0" w:val="single" w:color="#1E5182"/>
            </w:tcBorders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8" w:lineRule="exact" w:before="16" w:after="0"/>
              <w:ind w:left="446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4"/>
              </w:rPr>
              <w:t>Non spécifiée</w:t>
            </w:r>
          </w:p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462"/>
        </w:trPr>
        <w:tc>
          <w:tcPr>
            <w:tcW w:type="dxa" w:w="9876"/>
            <w:gridSpan w:val="2"/>
            <w:tcBorders>
              <w:start w:sz="24.0" w:val="single" w:color="#418BC9"/>
              <w:bottom w:sz="16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876"/>
            </w:tblGrid>
            <w:tr>
              <w:trPr>
                <w:trHeight w:hRule="exact" w:val="338"/>
              </w:trPr>
              <w:tc>
                <w:tcPr>
                  <w:tcW w:type="dxa" w:w="4284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8" w:lineRule="exact" w:before="42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Caractéristiques détaillées du logement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484"/>
        </w:trPr>
        <w:tc>
          <w:tcPr>
            <w:tcW w:type="dxa" w:w="3200"/>
            <w:tcBorders>
              <w:start w:sz="24.0" w:val="single" w:color="#418BC9"/>
              <w:top w:sz="16.0" w:val="single" w:color="#1E5182"/>
              <w:bottom w:sz="4.0" w:val="single" w:color="#A9AEB1"/>
            </w:tcBorders>
            <w:shd w:fill="e8ed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8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Caractéristique</w:t>
            </w:r>
          </w:p>
        </w:tc>
        <w:tc>
          <w:tcPr>
            <w:tcW w:type="dxa" w:w="6676"/>
            <w:tcBorders>
              <w:top w:sz="16.0" w:val="single" w:color="#1E5182"/>
              <w:bottom w:sz="4.0" w:val="single" w:color="#A9AEB1"/>
            </w:tcBorders>
            <w:shd w:fill="e8ed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8" w:after="0"/>
              <w:ind w:left="66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Information</w:t>
            </w:r>
          </w:p>
        </w:tc>
      </w:tr>
      <w:tr>
        <w:trPr>
          <w:trHeight w:hRule="exact" w:val="488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04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Identifiant fiscal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4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renseigné</w:t>
            </w:r>
          </w:p>
        </w:tc>
      </w:tr>
      <w:tr>
        <w:trPr>
          <w:trHeight w:hRule="exact" w:val="484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98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Type de logement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98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spécifié</w:t>
            </w:r>
          </w:p>
        </w:tc>
      </w:tr>
      <w:tr>
        <w:trPr>
          <w:trHeight w:hRule="exact" w:val="482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02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Type d’habitat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2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spécifié</w:t>
            </w:r>
          </w:p>
        </w:tc>
      </w:tr>
      <w:tr>
        <w:trPr>
          <w:trHeight w:hRule="exact" w:val="488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02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Régime juridique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2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spécifié</w:t>
            </w:r>
          </w:p>
        </w:tc>
      </w:tr>
      <w:tr>
        <w:trPr>
          <w:trHeight w:hRule="exact" w:val="482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98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Surface habitable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98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renseignée</w:t>
            </w:r>
          </w:p>
        </w:tc>
      </w:tr>
      <w:tr>
        <w:trPr>
          <w:trHeight w:hRule="exact" w:val="486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02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Pièces principales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2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renseigné</w:t>
            </w:r>
          </w:p>
        </w:tc>
      </w:tr>
      <w:tr>
        <w:trPr>
          <w:trHeight w:hRule="exact" w:val="484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02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Étage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2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renseigné</w:t>
            </w:r>
          </w:p>
        </w:tc>
      </w:tr>
      <w:tr>
        <w:trPr>
          <w:trHeight w:hRule="exact" w:val="486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00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Bâtiment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0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renseigné</w:t>
            </w:r>
          </w:p>
        </w:tc>
      </w:tr>
      <w:tr>
        <w:trPr>
          <w:trHeight w:hRule="exact" w:val="482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02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Période de construction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2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renseignée</w:t>
            </w:r>
          </w:p>
        </w:tc>
      </w:tr>
      <w:tr>
        <w:trPr>
          <w:trHeight w:hRule="exact" w:val="488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02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Autres parties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2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Aucune autre partie déclarée</w:t>
            </w:r>
          </w:p>
        </w:tc>
      </w:tr>
      <w:tr>
        <w:trPr>
          <w:trHeight w:hRule="exact" w:val="482"/>
        </w:trPr>
        <w:tc>
          <w:tcPr>
            <w:tcW w:type="dxa" w:w="3200"/>
            <w:tcBorders>
              <w:start w:sz="24.0" w:val="single" w:color="#418BC9"/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00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Chauffage collectif</w:t>
            </w:r>
          </w:p>
        </w:tc>
        <w:tc>
          <w:tcPr>
            <w:tcW w:type="dxa" w:w="6676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0" w:after="0"/>
              <w:ind w:left="668" w:right="0" w:firstLine="0"/>
              <w:jc w:val="left"/>
            </w:pPr>
            <w:r>
              <w:rPr>
                <w:rFonts w:ascii=".SF NS" w:hAnsi=".SF NS" w:eastAsia=".SF NS"/>
                <w:b w:val="0"/>
                <w:i w:val="0"/>
                <w:color w:val="555D64"/>
                <w:sz w:val="21"/>
              </w:rPr>
              <w:t>✗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21"/>
              </w:rPr>
              <w:t xml:space="preserve"> Non</w:t>
            </w:r>
          </w:p>
        </w:tc>
      </w:tr>
    </w:tbl>
    <w:p>
      <w:pPr>
        <w:autoSpaceDN w:val="0"/>
        <w:autoSpaceDE w:val="0"/>
        <w:widowControl/>
        <w:spacing w:line="278" w:lineRule="exact" w:before="746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3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4292600</wp:posOffset>
            </wp:positionV>
            <wp:extent cx="6299200" cy="5588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58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6134100</wp:posOffset>
            </wp:positionV>
            <wp:extent cx="6299200" cy="5588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58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4983"/>
        <w:gridCol w:w="4983"/>
      </w:tblGrid>
      <w:tr>
        <w:trPr>
          <w:trHeight w:hRule="exact" w:val="930"/>
        </w:trPr>
        <w:tc>
          <w:tcPr>
            <w:tcW w:type="dxa" w:w="3084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578" w:after="0"/>
              <w:ind w:left="17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Eau chaude collective</w:t>
            </w:r>
          </w:p>
        </w:tc>
        <w:tc>
          <w:tcPr>
            <w:tcW w:type="dxa" w:w="6790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578" w:after="0"/>
              <w:ind w:left="788" w:right="0" w:firstLine="0"/>
              <w:jc w:val="left"/>
            </w:pPr>
            <w:r>
              <w:rPr>
                <w:rFonts w:ascii=".SF NS" w:hAnsi=".SF NS" w:eastAsia=".SF NS"/>
                <w:b w:val="0"/>
                <w:i w:val="0"/>
                <w:color w:val="555D64"/>
                <w:sz w:val="21"/>
              </w:rPr>
              <w:t>✗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21"/>
              </w:rPr>
              <w:t xml:space="preserve"> Non</w:t>
            </w:r>
          </w:p>
        </w:tc>
      </w:tr>
    </w:tbl>
    <w:p>
      <w:pPr>
        <w:autoSpaceDN w:val="0"/>
        <w:autoSpaceDE w:val="0"/>
        <w:widowControl/>
        <w:spacing w:line="320" w:lineRule="exact" w:before="234" w:after="0"/>
        <w:ind w:left="40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2"/>
        </w:rPr>
        <w:t xml:space="preserve">-rappel : un logement décent doit respecter les critères minimaux de performance suivants : 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>a</w:t>
      </w:r>
      <w:r>
        <w:rPr>
          <w:rFonts w:ascii="Avenir" w:hAnsi="Avenir" w:eastAsia="Avenir"/>
          <w:b w:val="0"/>
          <w:i w:val="0"/>
          <w:color w:val="000000"/>
          <w:sz w:val="22"/>
        </w:rPr>
        <w:t>)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 xml:space="preserve"> En France métro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 xml:space="preserve">politaine : </w:t>
      </w:r>
      <w:r>
        <w:br/>
      </w:r>
      <w:r>
        <w:rPr>
          <w:rFonts w:ascii="Avenir" w:hAnsi="Avenir" w:eastAsia="Avenir"/>
          <w:b w:val="0"/>
          <w:i w:val="0"/>
          <w:color w:val="000000"/>
          <w:sz w:val="22"/>
        </w:rPr>
        <w:t xml:space="preserve">i) A compter du 1er janvier 2025, le niveau de performance minimal du logement correspond à la </w:t>
      </w:r>
      <w:r>
        <w:rPr>
          <w:rFonts w:ascii="Avenir" w:hAnsi="Avenir" w:eastAsia="Avenir"/>
          <w:b w:val="0"/>
          <w:i w:val="0"/>
          <w:color w:val="000000"/>
          <w:sz w:val="22"/>
        </w:rPr>
        <w:t xml:space="preserve">classe F du DPE. ii) A compter du 1er janvier 2028, le niveau de performance minimal du logement </w:t>
      </w:r>
      <w:r>
        <w:rPr>
          <w:rFonts w:ascii="Avenir" w:hAnsi="Avenir" w:eastAsia="Avenir"/>
          <w:b w:val="0"/>
          <w:i w:val="0"/>
          <w:color w:val="000000"/>
          <w:sz w:val="22"/>
        </w:rPr>
        <w:t xml:space="preserve">correspond à la classe E du DPE. iii) A compter du 1er janvier 2034, le niveau de performance minimal </w:t>
      </w:r>
      <w:r>
        <w:rPr>
          <w:rFonts w:ascii="Avenir" w:hAnsi="Avenir" w:eastAsia="Avenir"/>
          <w:b w:val="0"/>
          <w:i w:val="0"/>
          <w:color w:val="000000"/>
          <w:sz w:val="22"/>
        </w:rPr>
        <w:t>du logement correspond à la classe D du DPE.</w:t>
      </w:r>
    </w:p>
    <w:p>
      <w:pPr>
        <w:autoSpaceDN w:val="0"/>
        <w:autoSpaceDE w:val="0"/>
        <w:widowControl/>
        <w:spacing w:line="316" w:lineRule="exact" w:before="0" w:after="0"/>
        <w:ind w:left="40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>b</w:t>
      </w:r>
      <w:r>
        <w:rPr>
          <w:rFonts w:ascii="Avenir" w:hAnsi="Avenir" w:eastAsia="Avenir"/>
          <w:b w:val="0"/>
          <w:i w:val="0"/>
          <w:color w:val="000000"/>
          <w:sz w:val="22"/>
        </w:rPr>
        <w:t>)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 xml:space="preserve"> En Guadelou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>pe</w:t>
      </w:r>
      <w:r>
        <w:rPr>
          <w:rFonts w:ascii="Avenir" w:hAnsi="Avenir" w:eastAsia="Avenir"/>
          <w:b w:val="0"/>
          <w:i w:val="0"/>
          <w:color w:val="000000"/>
          <w:sz w:val="22"/>
        </w:rPr>
        <w:t>,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 xml:space="preserve"> en Martiniq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>ue</w:t>
      </w:r>
      <w:r>
        <w:rPr>
          <w:rFonts w:ascii="Avenir" w:hAnsi="Avenir" w:eastAsia="Avenir"/>
          <w:b w:val="0"/>
          <w:i w:val="0"/>
          <w:color w:val="000000"/>
          <w:sz w:val="22"/>
        </w:rPr>
        <w:t>,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 xml:space="preserve"> en Gu</w:t>
      </w:r>
      <w:r>
        <w:rPr>
          <w:rFonts w:ascii="Avenir" w:hAnsi="Avenir" w:eastAsia="Avenir"/>
          <w:b w:val="0"/>
          <w:i w:val="0"/>
          <w:color w:val="000000"/>
          <w:sz w:val="22"/>
        </w:rPr>
        <w:t>y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>ane</w:t>
      </w:r>
      <w:r>
        <w:rPr>
          <w:rFonts w:ascii="Avenir" w:hAnsi="Avenir" w:eastAsia="Avenir"/>
          <w:b w:val="0"/>
          <w:i w:val="0"/>
          <w:color w:val="000000"/>
          <w:sz w:val="22"/>
        </w:rPr>
        <w:t>,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 xml:space="preserve"> à La Réunion et à Ma</w:t>
      </w:r>
      <w:r>
        <w:rPr>
          <w:rFonts w:ascii="Avenir" w:hAnsi="Avenir" w:eastAsia="Avenir"/>
          <w:b w:val="0"/>
          <w:i w:val="0"/>
          <w:color w:val="000000"/>
          <w:sz w:val="22"/>
        </w:rPr>
        <w:t>y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 xml:space="preserve">otte : </w:t>
      </w:r>
      <w:r>
        <w:br/>
      </w:r>
      <w:r>
        <w:rPr>
          <w:rFonts w:ascii="Avenir" w:hAnsi="Avenir" w:eastAsia="Avenir"/>
          <w:b w:val="0"/>
          <w:i w:val="0"/>
          <w:color w:val="000000"/>
          <w:sz w:val="22"/>
        </w:rPr>
        <w:t xml:space="preserve">i) A compter du 1er janvier 2028, le niveau de performance minimal du logement correspond à la </w:t>
      </w:r>
      <w:r>
        <w:rPr>
          <w:rFonts w:ascii="Avenir" w:hAnsi="Avenir" w:eastAsia="Avenir"/>
          <w:b w:val="0"/>
          <w:i w:val="0"/>
          <w:color w:val="000000"/>
          <w:sz w:val="22"/>
        </w:rPr>
        <w:t xml:space="preserve">classe F du DPE. ii) A compter du 1er janvier 2031, le niveau de performance minimal du logement </w:t>
      </w:r>
      <w:r>
        <w:rPr>
          <w:rFonts w:ascii="Avenir" w:hAnsi="Avenir" w:eastAsia="Avenir"/>
          <w:b w:val="0"/>
          <w:i w:val="0"/>
          <w:color w:val="000000"/>
          <w:sz w:val="22"/>
        </w:rPr>
        <w:t>correspond à la classe E du DPE.</w:t>
      </w:r>
    </w:p>
    <w:p>
      <w:pPr>
        <w:autoSpaceDN w:val="0"/>
        <w:autoSpaceDE w:val="0"/>
        <w:widowControl/>
        <w:spacing w:line="326" w:lineRule="exact" w:before="0" w:after="0"/>
        <w:ind w:left="40" w:right="60" w:firstLine="0"/>
        <w:jc w:val="both"/>
      </w:pPr>
      <w:r>
        <w:rPr>
          <w:rFonts w:ascii="Avenir" w:hAnsi="Avenir" w:eastAsia="Avenir"/>
          <w:b w:val="0"/>
          <w:i w:val="0"/>
          <w:color w:val="000000"/>
          <w:sz w:val="22"/>
        </w:rPr>
        <w:t xml:space="preserve">La consommation d’énergie finale et le niveau de performance du logement sont déterminés selon </w:t>
      </w:r>
      <w:r>
        <w:rPr>
          <w:rFonts w:ascii="Avenir" w:hAnsi="Avenir" w:eastAsia="Avenir"/>
          <w:b w:val="0"/>
          <w:i w:val="0"/>
          <w:color w:val="000000"/>
          <w:sz w:val="22"/>
        </w:rPr>
        <w:t xml:space="preserve">la méthode du diagnostic de performance énergétique mentionné à l’article L. 126-26 du code de la </w:t>
      </w:r>
      <w:r>
        <w:rPr>
          <w:rFonts w:ascii="Avenir" w:hAnsi="Avenir" w:eastAsia="Avenir"/>
          <w:b w:val="0"/>
          <w:i w:val="0"/>
          <w:color w:val="000000"/>
          <w:sz w:val="22"/>
        </w:rPr>
        <w:t>construction et de l’habitation.</w:t>
      </w:r>
    </w:p>
    <w:p>
      <w:pPr>
        <w:autoSpaceDN w:val="0"/>
        <w:autoSpaceDE w:val="0"/>
        <w:widowControl/>
        <w:spacing w:line="292" w:lineRule="exact" w:before="0" w:after="140"/>
        <w:ind w:left="40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2"/>
        </w:rPr>
        <w:t>•</w:t>
      </w:r>
      <w:r>
        <w:rPr>
          <w:rFonts w:ascii="Avenir" w:hAnsi="Avenir" w:eastAsia="Avenir"/>
          <w:b w:val="0"/>
          <w:i w:val="0"/>
          <w:color w:val="000000"/>
          <w:sz w:val="22"/>
        </w:rPr>
        <w:t>Niveau de performance du logement [classe du Diagnostic de Performance Energétique (DPE)] :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4983"/>
        <w:gridCol w:w="4983"/>
      </w:tblGrid>
      <w:tr>
        <w:trPr>
          <w:trHeight w:hRule="exact" w:val="682"/>
        </w:trPr>
        <w:tc>
          <w:tcPr>
            <w:tcW w:type="dxa" w:w="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60" w:after="0"/>
              <w:ind w:left="0" w:right="0" w:firstLine="0"/>
              <w:jc w:val="center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85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0" w:after="0"/>
              <w:ind w:left="0" w:right="72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Aucun diagnostic de performance énergétique disponible pour ce logement. 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Selon la réglementation, un DPE est obligatoire pour la location d’un logement.</w:t>
            </w:r>
          </w:p>
        </w:tc>
      </w:tr>
    </w:tbl>
    <w:p>
      <w:pPr>
        <w:autoSpaceDN w:val="0"/>
        <w:autoSpaceDE w:val="0"/>
        <w:widowControl/>
        <w:spacing w:line="47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2"/>
        </w:trPr>
        <w:tc>
          <w:tcPr>
            <w:tcW w:type="dxa" w:w="3454"/>
            <w:tcBorders>
              <w:start w:sz="24.0" w:val="single" w:color="#1E5182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26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II.2) Destination des locaux</w:t>
            </w:r>
          </w:p>
        </w:tc>
      </w:tr>
    </w:tbl>
    <w:p>
      <w:pPr>
        <w:autoSpaceDN w:val="0"/>
        <w:autoSpaceDE w:val="0"/>
        <w:widowControl/>
        <w:spacing w:line="278" w:lineRule="exact" w:before="130" w:after="326"/>
        <w:ind w:left="40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Non spécifié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362"/>
        </w:trPr>
        <w:tc>
          <w:tcPr>
            <w:tcW w:type="dxa" w:w="9480"/>
            <w:gridSpan w:val="2"/>
            <w:tcBorders>
              <w:start w:sz="24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480"/>
            </w:tblGrid>
            <w:tr>
              <w:trPr>
                <w:trHeight w:hRule="exact" w:val="342"/>
              </w:trPr>
              <w:tc>
                <w:tcPr>
                  <w:tcW w:type="dxa" w:w="3492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II.3) Services de l’immeuble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54"/>
        </w:trPr>
        <w:tc>
          <w:tcPr>
            <w:tcW w:type="dxa" w:w="360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332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1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340" w:after="0"/>
              <w:ind w:left="10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Aucun service collectif déclaré pour cet immeuble.</w:t>
            </w:r>
          </w:p>
          <w:p>
            <w:pPr>
              <w:autoSpaceDN w:val="0"/>
              <w:autoSpaceDE w:val="0"/>
              <w:widowControl/>
              <w:spacing w:line="280" w:lineRule="exact" w:before="0" w:after="0"/>
              <w:ind w:left="10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Les services de base (eau, électricité, gaz) sont disponibles selon les installations standards.</w:t>
            </w:r>
          </w:p>
        </w:tc>
      </w:tr>
    </w:tbl>
    <w:p>
      <w:pPr>
        <w:autoSpaceDN w:val="0"/>
        <w:autoSpaceDE w:val="0"/>
        <w:widowControl/>
        <w:spacing w:line="338" w:lineRule="exact" w:before="112" w:after="348"/>
        <w:ind w:left="40" w:right="42" w:firstLine="0"/>
        <w:jc w:val="both"/>
      </w:pPr>
      <w:r>
        <w:rPr>
          <w:rFonts w:ascii="Avenir Black" w:hAnsi="Avenir Black" w:eastAsia="Avenir Black"/>
          <w:b/>
          <w:i w:val="0"/>
          <w:color w:val="000000"/>
          <w:sz w:val="22"/>
        </w:rPr>
        <w:t>Forfait Box Internet</w:t>
      </w:r>
      <w:r>
        <w:rPr>
          <w:rFonts w:ascii="Avenir" w:hAnsi="Avenir" w:eastAsia="Avenir"/>
          <w:b w:val="0"/>
          <w:i w:val="0"/>
          <w:color w:val="000000"/>
          <w:sz w:val="22"/>
        </w:rPr>
        <w:t xml:space="preserve"> : Test d’éligibilité Fibre / ADSL et ouverture de ligne à votre nouvelle adresse: </w:t>
      </w:r>
      <w:r>
        <w:rPr>
          <w:rFonts w:ascii="Avenir" w:hAnsi="Avenir" w:eastAsia="Avenir"/>
          <w:b w:val="0"/>
          <w:i w:val="0"/>
          <w:color w:val="000000"/>
          <w:sz w:val="22"/>
        </w:rPr>
        <w:t xml:space="preserve">appelez-le 02 30 95 10 98 (non surtaxé – sans engagement du lundi au vendredi de 9h à 19h et le </w:t>
      </w:r>
      <w:r>
        <w:rPr>
          <w:rFonts w:ascii="Avenir" w:hAnsi="Avenir" w:eastAsia="Avenir"/>
          <w:b w:val="0"/>
          <w:i w:val="0"/>
          <w:color w:val="000000"/>
          <w:sz w:val="22"/>
        </w:rPr>
        <w:t>samedi de 10h à 17h).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646"/>
        </w:trPr>
        <w:tc>
          <w:tcPr>
            <w:tcW w:type="dxa" w:w="9864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III) DATE DE PRISE D’EFFET ET DURÉE DU CONTRAT</w:t>
            </w:r>
          </w:p>
        </w:tc>
      </w:tr>
    </w:tbl>
    <w:p>
      <w:pPr>
        <w:autoSpaceDN w:val="0"/>
        <w:autoSpaceDE w:val="0"/>
        <w:widowControl/>
        <w:spacing w:line="28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464"/>
        </w:trPr>
        <w:tc>
          <w:tcPr>
            <w:tcW w:type="dxa" w:w="9706"/>
            <w:gridSpan w:val="2"/>
            <w:tcBorders>
              <w:start w:sz="24.0" w:val="single" w:color="#418BC9"/>
              <w:bottom w:sz="16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06"/>
            </w:tblGrid>
            <w:tr>
              <w:trPr>
                <w:trHeight w:hRule="exact" w:val="340"/>
              </w:trPr>
              <w:tc>
                <w:tcPr>
                  <w:tcW w:type="dxa" w:w="6788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8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La durée du contrat et sa date de prise d’effet sont ainsi définies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622"/>
        </w:trPr>
        <w:tc>
          <w:tcPr>
            <w:tcW w:type="dxa" w:w="4180"/>
            <w:tcBorders>
              <w:start w:sz="24.0" w:val="single" w:color="#418BC9"/>
              <w:top w:sz="16.0" w:val="single" w:color="#1E5182"/>
            </w:tcBorders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6" w:lineRule="exact" w:before="226" w:after="0"/>
              <w:ind w:left="286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DATE DE PRISE D’EFFET</w:t>
            </w:r>
          </w:p>
        </w:tc>
        <w:tc>
          <w:tcPr>
            <w:tcW w:type="dxa" w:w="5526"/>
            <w:tcBorders>
              <w:top w:sz="16.0" w:val="single" w:color="#1E5182"/>
            </w:tcBorders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6" w:lineRule="exact" w:before="226" w:after="0"/>
              <w:ind w:left="96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DURÉE DU CONTRAT</w:t>
            </w:r>
          </w:p>
        </w:tc>
      </w:tr>
      <w:tr>
        <w:trPr>
          <w:trHeight w:hRule="exact" w:val="848"/>
        </w:trPr>
        <w:tc>
          <w:tcPr>
            <w:tcW w:type="dxa" w:w="4180"/>
            <w:tcBorders>
              <w:start w:sz="24.0" w:val="single" w:color="#418BC9"/>
            </w:tcBorders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6" w:lineRule="exact" w:before="120" w:after="0"/>
              <w:ind w:left="286" w:right="86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428BCA"/>
                <w:sz w:val="28"/>
              </w:rPr>
              <w:t xml:space="preserve">Non spécifiée </w:t>
            </w:r>
            <w:r>
              <w:br/>
            </w: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Date d’entrée en vigueur du contrat</w:t>
            </w:r>
          </w:p>
        </w:tc>
        <w:tc>
          <w:tcPr>
            <w:tcW w:type="dxa" w:w="5526"/>
            <w:tcBorders/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24" w:after="0"/>
              <w:ind w:left="962" w:right="2592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 xml:space="preserve">Dates non spécifiées </w:t>
            </w:r>
            <w:r>
              <w:br/>
            </w: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Période de location</w:t>
            </w:r>
          </w:p>
        </w:tc>
      </w:tr>
      <w:tr>
        <w:trPr>
          <w:trHeight w:hRule="exact" w:val="160"/>
        </w:trPr>
        <w:tc>
          <w:tcPr>
            <w:tcW w:type="dxa" w:w="9706"/>
            <w:gridSpan w:val="2"/>
            <w:tcBorders/>
            <w:shd w:fill="dde4ec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78" w:lineRule="exact" w:before="738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4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990600</wp:posOffset>
            </wp:positionV>
            <wp:extent cx="6299200" cy="5588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58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.999999999999943" w:type="dxa"/>
      </w:tblPr>
      <w:tblGrid>
        <w:gridCol w:w="4968"/>
        <w:gridCol w:w="4968"/>
      </w:tblGrid>
      <w:tr>
        <w:trPr>
          <w:trHeight w:hRule="exact" w:val="1446"/>
        </w:trPr>
        <w:tc>
          <w:tcPr>
            <w:tcW w:type="dxa" w:w="564"/>
            <w:tcBorders>
              <w:top w:sz="4.0" w:val="single" w:color="#708095"/>
              <w:bottom w:sz="8.0" w:val="single" w:color="#A9AE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612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310"/>
            <w:tcBorders>
              <w:top w:sz="4.0" w:val="single" w:color="#708095"/>
              <w:bottom w:sz="8.0" w:val="single" w:color="#A9AE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exact" w:before="630" w:after="0"/>
              <w:ind w:left="98" w:right="158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Dispositions légales sur la durée du contrat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Bailleur personne physique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: Durée minimale de 3 ans avec reconduction tacite.</w:t>
            </w:r>
          </w:p>
        </w:tc>
      </w:tr>
    </w:tbl>
    <w:p>
      <w:pPr>
        <w:autoSpaceDN w:val="0"/>
        <w:autoSpaceDE w:val="0"/>
        <w:widowControl/>
        <w:spacing w:line="12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36"/>
      </w:tblGrid>
      <w:tr>
        <w:trPr>
          <w:trHeight w:hRule="exact" w:val="390"/>
        </w:trPr>
        <w:tc>
          <w:tcPr>
            <w:tcW w:type="dxa" w:w="59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60" w:after="0"/>
              <w:ind w:left="152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1F5183"/>
                <w:sz w:val="21"/>
              </w:rPr>
              <w:t>Dispositions légales :</w:t>
            </w:r>
          </w:p>
        </w:tc>
      </w:tr>
    </w:tbl>
    <w:p>
      <w:pPr>
        <w:autoSpaceDN w:val="0"/>
        <w:autoSpaceDE w:val="0"/>
        <w:widowControl/>
        <w:spacing w:line="332" w:lineRule="exact" w:before="0" w:after="20"/>
        <w:ind w:left="144" w:right="288" w:firstLine="0"/>
        <w:jc w:val="center"/>
      </w:pPr>
      <w:r>
        <w:rPr>
          <w:rFonts w:ascii="Avenir" w:hAnsi="Avenir" w:eastAsia="Avenir"/>
          <w:b w:val="0"/>
          <w:i w:val="0"/>
          <w:color w:val="000000"/>
          <w:sz w:val="21"/>
        </w:rPr>
        <w:t xml:space="preserve">A l’exception des locations consenties à un étudiant pour une durée de 9 mois, les contrats de 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location de logements non meublés sont </w:t>
      </w:r>
      <w:r>
        <w:rPr>
          <w:rFonts w:ascii="Avenir Black" w:hAnsi="Avenir Black" w:eastAsia="Avenir Black"/>
          <w:b/>
          <w:i w:val="0"/>
          <w:color w:val="000000"/>
          <w:sz w:val="21"/>
        </w:rPr>
        <w:t>reconduits tacitement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 à leur terme pour une durée de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3312"/>
        <w:gridCol w:w="3312"/>
        <w:gridCol w:w="3312"/>
      </w:tblGrid>
      <w:tr>
        <w:trPr>
          <w:trHeight w:hRule="exact" w:val="338"/>
        </w:trPr>
        <w:tc>
          <w:tcPr>
            <w:tcW w:type="dxa" w:w="9864"/>
            <w:gridSpan w:val="3"/>
            <w:tcBorders/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0" w:after="0"/>
              <w:ind w:left="25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trois ans (personne physique) ou six ans (personne morale) dans les mêmes conditions.</w:t>
            </w:r>
          </w:p>
        </w:tc>
      </w:tr>
      <w:tr>
        <w:trPr>
          <w:trHeight w:hRule="exact" w:val="320"/>
        </w:trPr>
        <w:tc>
          <w:tcPr>
            <w:tcW w:type="dxa" w:w="478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42" w:after="0"/>
              <w:ind w:left="252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428BCA"/>
                <w:sz w:val="21"/>
              </w:rPr>
              <w:t>Pour le locataire :</w:t>
            </w:r>
          </w:p>
        </w:tc>
        <w:tc>
          <w:tcPr>
            <w:tcW w:type="dxa" w:w="5084"/>
            <w:gridSpan w:val="2"/>
            <w:tcBorders/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42" w:after="0"/>
              <w:ind w:left="310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C88C28"/>
                <w:sz w:val="21"/>
              </w:rPr>
              <w:t>Pour le bailleur :</w:t>
            </w:r>
          </w:p>
        </w:tc>
      </w:tr>
      <w:tr>
        <w:trPr>
          <w:trHeight w:hRule="exact" w:val="300"/>
        </w:trPr>
        <w:tc>
          <w:tcPr>
            <w:tcW w:type="dxa" w:w="4952"/>
            <w:gridSpan w:val="2"/>
            <w:tcBorders/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6" w:after="0"/>
              <w:ind w:left="25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locataire peut mettre fin au bail à tout mo-</w:t>
            </w:r>
          </w:p>
        </w:tc>
        <w:tc>
          <w:tcPr>
            <w:tcW w:type="dxa" w:w="4912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6" w:after="0"/>
              <w:ind w:left="138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bailleur peut mettre fin au bail à son échéance</w:t>
            </w:r>
          </w:p>
        </w:tc>
      </w:tr>
      <w:tr>
        <w:trPr>
          <w:trHeight w:hRule="exact" w:val="340"/>
        </w:trPr>
        <w:tc>
          <w:tcPr>
            <w:tcW w:type="dxa" w:w="478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44" w:after="0"/>
              <w:ind w:left="25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ment, après avoir donné congé avec un 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préavis</w:t>
            </w:r>
          </w:p>
        </w:tc>
        <w:tc>
          <w:tcPr>
            <w:tcW w:type="dxa" w:w="5084"/>
            <w:gridSpan w:val="2"/>
            <w:tcBorders/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44" w:after="0"/>
              <w:ind w:left="31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et après avoir donné congé, soit pour :</w:t>
            </w:r>
          </w:p>
        </w:tc>
      </w:tr>
      <w:tr>
        <w:trPr>
          <w:trHeight w:hRule="exact" w:val="320"/>
        </w:trPr>
        <w:tc>
          <w:tcPr>
            <w:tcW w:type="dxa" w:w="478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30" w:after="0"/>
              <w:ind w:left="25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de trois mois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.</w:t>
            </w:r>
          </w:p>
        </w:tc>
        <w:tc>
          <w:tcPr>
            <w:tcW w:type="dxa" w:w="5084"/>
            <w:gridSpan w:val="2"/>
            <w:tcBorders/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30" w:after="0"/>
              <w:ind w:left="31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Reprendre le logement en vue de l’occuper lui-</w:t>
            </w:r>
          </w:p>
        </w:tc>
      </w:tr>
      <w:tr>
        <w:trPr>
          <w:trHeight w:hRule="exact" w:val="360"/>
        </w:trPr>
        <w:tc>
          <w:tcPr>
            <w:tcW w:type="dxa" w:w="478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74" w:after="0"/>
              <w:ind w:left="25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Ce préavis est réduit à 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un mois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dans les cas</w:t>
            </w:r>
          </w:p>
        </w:tc>
        <w:tc>
          <w:tcPr>
            <w:tcW w:type="dxa" w:w="5084"/>
            <w:gridSpan w:val="2"/>
            <w:tcBorders/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38" w:after="0"/>
              <w:ind w:left="52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même ou une personne de sa famille</w:t>
            </w:r>
          </w:p>
        </w:tc>
      </w:tr>
      <w:tr>
        <w:trPr>
          <w:trHeight w:hRule="exact" w:val="320"/>
        </w:trPr>
        <w:tc>
          <w:tcPr>
            <w:tcW w:type="dxa" w:w="478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42" w:after="0"/>
              <w:ind w:left="25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suivants :</w:t>
            </w:r>
          </w:p>
        </w:tc>
        <w:tc>
          <w:tcPr>
            <w:tcW w:type="dxa" w:w="5084"/>
            <w:gridSpan w:val="2"/>
            <w:tcBorders/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4" w:after="0"/>
              <w:ind w:left="31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vendre</w:t>
            </w:r>
          </w:p>
        </w:tc>
      </w:tr>
      <w:tr>
        <w:trPr>
          <w:trHeight w:hRule="exact" w:val="368"/>
        </w:trPr>
        <w:tc>
          <w:tcPr>
            <w:tcW w:type="dxa" w:w="478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64" w:after="0"/>
              <w:ind w:left="25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Logement situé en zone tendue</w:t>
            </w:r>
          </w:p>
        </w:tc>
        <w:tc>
          <w:tcPr>
            <w:tcW w:type="dxa" w:w="5084"/>
            <w:gridSpan w:val="2"/>
            <w:tcBorders/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2" w:after="0"/>
              <w:ind w:left="31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Un motif sérieux et légitime</w:t>
            </w:r>
          </w:p>
        </w:tc>
      </w:tr>
    </w:tbl>
    <w:p>
      <w:pPr>
        <w:autoSpaceDN w:val="0"/>
        <w:tabs>
          <w:tab w:pos="492" w:val="left"/>
        </w:tabs>
        <w:autoSpaceDE w:val="0"/>
        <w:widowControl/>
        <w:spacing w:line="324" w:lineRule="exact" w:before="0" w:after="0"/>
        <w:ind w:left="282" w:right="504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Mutation professionnelle</w:t>
      </w:r>
      <w:r>
        <w:br/>
      </w: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Perte d’emploi ou nouvel emploi après chô-</w:t>
      </w:r>
      <w:r>
        <w:br/>
      </w:r>
      <w:r>
        <w:rPr>
          <w:rFonts w:ascii="Avenir" w:hAnsi="Avenir" w:eastAsia="Avenir"/>
          <w:b w:val="0"/>
          <w:i w:val="0"/>
          <w:color w:val="000000"/>
          <w:sz w:val="21"/>
        </w:rPr>
        <w:t>mage</w:t>
      </w:r>
      <w:r>
        <w:br/>
      </w: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Bénéficiaires du RSA ou de l’AAH</w:t>
      </w:r>
      <w:r>
        <w:br/>
      </w: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État de santé justifiant un changement de do-</w:t>
      </w:r>
      <w:r>
        <w:br/>
      </w:r>
      <w:r>
        <w:rPr>
          <w:rFonts w:ascii="Avenir" w:hAnsi="Avenir" w:eastAsia="Avenir"/>
          <w:b w:val="0"/>
          <w:i w:val="0"/>
          <w:color w:val="000000"/>
          <w:sz w:val="21"/>
        </w:rPr>
        <w:t>micile</w:t>
      </w:r>
      <w:r>
        <w:br/>
      </w: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Attribution d’un logement social</w:t>
      </w:r>
    </w:p>
    <w:p>
      <w:pPr>
        <w:autoSpaceDN w:val="0"/>
        <w:autoSpaceDE w:val="0"/>
        <w:widowControl/>
        <w:spacing w:line="278" w:lineRule="exact" w:before="102" w:after="26"/>
        <w:ind w:left="0" w:right="0" w:firstLine="0"/>
        <w:jc w:val="center"/>
      </w:pPr>
      <w:r>
        <w:rPr>
          <w:rFonts w:ascii="Avenir Medium" w:hAnsi="Avenir Medium" w:eastAsia="Avenir Medium"/>
          <w:b w:val="0"/>
          <w:i/>
          <w:color w:val="555D64"/>
          <w:sz w:val="21"/>
        </w:rPr>
        <w:t>Note : Les contrats de locations non meublées consenties à un étudiant pour une durée de 9 mois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36"/>
      </w:tblGrid>
      <w:tr>
        <w:trPr>
          <w:trHeight w:hRule="exact" w:val="486"/>
        </w:trPr>
        <w:tc>
          <w:tcPr>
            <w:tcW w:type="dxa" w:w="9666"/>
            <w:tcBorders>
              <w:bottom w:sz="8.0" w:val="single" w:color="#A9AE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4" w:after="0"/>
              <w:ind w:left="152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/>
                <w:color w:val="555D64"/>
                <w:sz w:val="21"/>
              </w:rPr>
              <w:t>ne sont pas reconduits tacitement à leur terme.</w:t>
            </w:r>
          </w:p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36"/>
      </w:tblGrid>
      <w:tr>
        <w:trPr>
          <w:trHeight w:hRule="exact" w:val="646"/>
        </w:trPr>
        <w:tc>
          <w:tcPr>
            <w:tcW w:type="dxa" w:w="9864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IV) CONDITIONS FINANCIÈRES</w:t>
            </w:r>
          </w:p>
        </w:tc>
      </w:tr>
    </w:tbl>
    <w:p>
      <w:pPr>
        <w:autoSpaceDN w:val="0"/>
        <w:autoSpaceDE w:val="0"/>
        <w:widowControl/>
        <w:spacing w:line="28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36"/>
      </w:tblGrid>
      <w:tr>
        <w:trPr>
          <w:trHeight w:hRule="exact" w:val="358"/>
        </w:trPr>
        <w:tc>
          <w:tcPr>
            <w:tcW w:type="dxa" w:w="6298"/>
            <w:tcBorders>
              <w:start w:sz="24.0" w:val="single" w:color="#418BC9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44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Les parties conviennent des conditions financières suivantes</w:t>
            </w:r>
          </w:p>
        </w:tc>
      </w:tr>
    </w:tbl>
    <w:p>
      <w:pPr>
        <w:autoSpaceDN w:val="0"/>
        <w:autoSpaceDE w:val="0"/>
        <w:widowControl/>
        <w:spacing w:line="5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36"/>
      </w:tblGrid>
      <w:tr>
        <w:trPr>
          <w:trHeight w:hRule="exact" w:val="362"/>
        </w:trPr>
        <w:tc>
          <w:tcPr>
            <w:tcW w:type="dxa" w:w="2064"/>
            <w:tcBorders>
              <w:start w:sz="24.0" w:val="single" w:color="#1E5182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26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IV.1) A. LOYER</w:t>
            </w:r>
          </w:p>
        </w:tc>
      </w:tr>
    </w:tbl>
    <w:p>
      <w:pPr>
        <w:autoSpaceDN w:val="0"/>
        <w:autoSpaceDE w:val="0"/>
        <w:widowControl/>
        <w:spacing w:line="19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36"/>
      </w:tblGrid>
      <w:tr>
        <w:trPr>
          <w:trHeight w:hRule="exact" w:val="358"/>
        </w:trPr>
        <w:tc>
          <w:tcPr>
            <w:tcW w:type="dxa" w:w="9786"/>
            <w:tcBorders>
              <w:start w:sz="24.0" w:val="single" w:color="#418BC9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86"/>
            </w:tblGrid>
            <w:tr>
              <w:trPr>
                <w:trHeight w:hRule="exact" w:val="338"/>
              </w:trPr>
              <w:tc>
                <w:tcPr>
                  <w:tcW w:type="dxa" w:w="288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6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1° Fixation du loyer initial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06"/>
        </w:trPr>
        <w:tc>
          <w:tcPr>
            <w:tcW w:type="dxa" w:w="9786"/>
            <w:tcBorders>
              <w:bottom w:sz="16.0" w:val="single" w:color="#278227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36"/>
      </w:tblGrid>
      <w:tr>
        <w:trPr>
          <w:trHeight w:hRule="exact" w:val="476"/>
        </w:trPr>
        <w:tc>
          <w:tcPr>
            <w:tcW w:type="dxa" w:w="9864"/>
            <w:tcBorders/>
            <w:shd w:fill="deecde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146" w:after="0"/>
              <w:ind w:left="50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2"/>
              </w:rPr>
              <w:t>MONTANT DU LOYER MENSUEL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4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50.0" w:type="dxa"/>
      </w:tblPr>
      <w:tblGrid>
        <w:gridCol w:w="9936"/>
      </w:tblGrid>
      <w:tr>
        <w:trPr>
          <w:trHeight w:hRule="exact" w:val="492"/>
        </w:trPr>
        <w:tc>
          <w:tcPr>
            <w:tcW w:type="dxa" w:w="5220"/>
            <w:tcBorders/>
            <w:shd w:fill="deecde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38" w:lineRule="exact" w:before="30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32"/>
              </w:rPr>
              <w:t>0 €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0.0" w:type="dxa"/>
      </w:tblPr>
      <w:tblGrid>
        <w:gridCol w:w="9936"/>
      </w:tblGrid>
      <w:tr>
        <w:trPr>
          <w:trHeight w:hRule="exact" w:val="394"/>
        </w:trPr>
        <w:tc>
          <w:tcPr>
            <w:tcW w:type="dxa" w:w="9706"/>
            <w:tcBorders>
              <w:bottom w:sz="16.0" w:val="single" w:color="#278227"/>
            </w:tcBorders>
            <w:shd w:fill="deecde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24" w:after="0"/>
              <w:ind w:left="420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6"/>
              </w:rPr>
              <w:t>Loyer hors charges</w:t>
            </w:r>
          </w:p>
        </w:tc>
      </w:tr>
    </w:tbl>
    <w:p>
      <w:pPr>
        <w:autoSpaceDN w:val="0"/>
        <w:autoSpaceDE w:val="0"/>
        <w:widowControl/>
        <w:spacing w:line="67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36"/>
      </w:tblGrid>
      <w:tr>
        <w:trPr>
          <w:trHeight w:hRule="exact" w:val="360"/>
        </w:trPr>
        <w:tc>
          <w:tcPr>
            <w:tcW w:type="dxa" w:w="5508"/>
            <w:tcBorders>
              <w:start w:sz="24.0" w:val="single" w:color="#418BC9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44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Informations relatives au loyer du dernier locataire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6</w:t>
            </w:r>
          </w:p>
        </w:tc>
      </w:tr>
    </w:tbl>
    <w:p>
      <w:pPr>
        <w:autoSpaceDN w:val="0"/>
        <w:autoSpaceDE w:val="0"/>
        <w:widowControl/>
        <w:spacing w:line="278" w:lineRule="exact" w:before="426" w:after="0"/>
        <w:ind w:left="0" w:right="4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5</w:t>
      </w:r>
    </w:p>
    <w:p>
      <w:pPr>
        <w:sectPr>
          <w:pgSz w:w="11906" w:h="16838"/>
          <w:pgMar w:top="412" w:right="980" w:bottom="446" w:left="99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1790700</wp:posOffset>
            </wp:positionV>
            <wp:extent cx="6299200" cy="469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69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9966"/>
      </w:tblGrid>
      <w:tr>
        <w:trPr>
          <w:trHeight w:hRule="exact" w:val="936"/>
        </w:trPr>
        <w:tc>
          <w:tcPr>
            <w:tcW w:type="dxa" w:w="9874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620" w:after="0"/>
              <w:ind w:left="214" w:right="0" w:firstLine="0"/>
              <w:jc w:val="left"/>
            </w:pPr>
            <w:r>
              <w:rPr>
                <w:rFonts w:ascii=".SF NS" w:hAnsi=".SF NS" w:eastAsia=".SF NS"/>
                <w:b w:val="0"/>
                <w:i w:val="0"/>
                <w:color w:val="288228"/>
                <w:sz w:val="21"/>
              </w:rPr>
              <w:t>✓</w:t>
            </w:r>
            <w:r>
              <w:rPr>
                <w:rFonts w:ascii="Avenir Black" w:hAnsi="Avenir Black" w:eastAsia="Avenir Black"/>
                <w:b/>
                <w:i w:val="0"/>
                <w:color w:val="288228"/>
                <w:sz w:val="21"/>
              </w:rPr>
              <w:t xml:space="preserve"> Aucune information sur le précédent locataire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4983"/>
        <w:gridCol w:w="4983"/>
      </w:tblGrid>
      <w:tr>
        <w:trPr>
          <w:trHeight w:hRule="exact" w:val="416"/>
        </w:trPr>
        <w:tc>
          <w:tcPr>
            <w:tcW w:type="dxa" w:w="9666"/>
            <w:gridSpan w:val="2"/>
            <w:tcBorders>
              <w:bottom w:sz="8.0" w:val="single" w:color="#278227"/>
            </w:tcBorders>
            <w:shd w:fill="e9f2e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6" w:after="0"/>
              <w:ind w:left="110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Non applicable ou locataire parti depuis plus de 18 mois</w:t>
            </w:r>
          </w:p>
        </w:tc>
      </w:tr>
      <w:tr>
        <w:trPr>
          <w:trHeight w:hRule="exact" w:val="1204"/>
        </w:trPr>
        <w:tc>
          <w:tcPr>
            <w:tcW w:type="dxa" w:w="460"/>
            <w:tcBorders>
              <w:top w:sz="8.0" w:val="single" w:color="#278227"/>
              <w:bottom w:sz="8.0" w:val="single" w:color="#C78C27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508" w:after="0"/>
              <w:ind w:left="0" w:right="0" w:firstLine="0"/>
              <w:jc w:val="center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206"/>
            <w:tcBorders>
              <w:top w:sz="8.0" w:val="single" w:color="#278227"/>
              <w:bottom w:sz="8.0" w:val="single" w:color="#C78C27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516" w:after="0"/>
              <w:ind w:left="9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2° Modalités de révision du loyer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1574"/>
        </w:trPr>
        <w:tc>
          <w:tcPr>
            <w:tcW w:type="dxa" w:w="398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46" w:lineRule="exact" w:before="132" w:after="0"/>
              <w:ind w:left="252" w:right="1008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 xml:space="preserve">Révision annuelle du loyer </w:t>
            </w:r>
            <w:r>
              <w:rPr>
                <w:rFonts w:ascii="Avenir Medium" w:hAnsi="Avenir Medium" w:eastAsia="Avenir Medium"/>
                <w:b w:val="0"/>
                <w:i w:val="0"/>
                <w:color w:val="1F5183"/>
                <w:sz w:val="21"/>
              </w:rPr>
              <w:t xml:space="preserve">Date de révision </w:t>
            </w:r>
            <w:r>
              <w:br/>
            </w: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 xml:space="preserve">Non spécifiée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6"/>
              </w:rPr>
              <w:t>Date anniversaire de révision</w:t>
            </w:r>
          </w:p>
        </w:tc>
        <w:tc>
          <w:tcPr>
            <w:tcW w:type="dxa" w:w="5884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610" w:after="0"/>
              <w:ind w:left="1162" w:right="216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1F5183"/>
                <w:sz w:val="21"/>
              </w:rPr>
              <w:t xml:space="preserve">Trimestre de référence IRL </w:t>
            </w:r>
            <w:r>
              <w:br/>
            </w: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spécifié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6"/>
              </w:rPr>
              <w:t>Indice de Référence des Loyers</w:t>
            </w:r>
          </w:p>
        </w:tc>
      </w:tr>
    </w:tbl>
    <w:p>
      <w:pPr>
        <w:autoSpaceDN w:val="0"/>
        <w:autoSpaceDE w:val="0"/>
        <w:widowControl/>
        <w:spacing w:line="7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492"/>
        </w:trPr>
        <w:tc>
          <w:tcPr>
            <w:tcW w:type="dxa" w:w="9666"/>
            <w:tcBorders>
              <w:bottom w:sz="8.0" w:val="single" w:color="#C78C27"/>
            </w:tcBorders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152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La révision du loyer s’effectue selon l’évolution de l’IRL publié par l’INSEE, dans les conditions prévues par la loi.</w:t>
            </w:r>
          </w:p>
        </w:tc>
      </w:tr>
    </w:tbl>
    <w:p>
      <w:pPr>
        <w:autoSpaceDN w:val="0"/>
        <w:autoSpaceDE w:val="0"/>
        <w:widowControl/>
        <w:spacing w:line="45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2"/>
        </w:trPr>
        <w:tc>
          <w:tcPr>
            <w:tcW w:type="dxa" w:w="4336"/>
            <w:tcBorders>
              <w:start w:sz="24.0" w:val="single" w:color="#1E5182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26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IV.2) B. CHARGES RÉCUPÉRABLES</w:t>
            </w:r>
          </w:p>
        </w:tc>
      </w:tr>
    </w:tbl>
    <w:p>
      <w:pPr>
        <w:autoSpaceDN w:val="0"/>
        <w:autoSpaceDE w:val="0"/>
        <w:widowControl/>
        <w:spacing w:line="19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464"/>
        </w:trPr>
        <w:tc>
          <w:tcPr>
            <w:tcW w:type="dxa" w:w="9876"/>
            <w:gridSpan w:val="2"/>
            <w:tcBorders>
              <w:start w:sz="24.0" w:val="single" w:color="#418BC9"/>
              <w:bottom w:sz="16.0" w:val="single" w:color="#418BC9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876"/>
            </w:tblGrid>
            <w:tr>
              <w:trPr>
                <w:trHeight w:hRule="exact" w:val="338"/>
              </w:trPr>
              <w:tc>
                <w:tcPr>
                  <w:tcW w:type="dxa" w:w="5298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6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Modalités de règlement des charges récupérables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486"/>
        </w:trPr>
        <w:tc>
          <w:tcPr>
            <w:tcW w:type="dxa" w:w="900"/>
            <w:tcBorders>
              <w:start w:sz="24.0" w:val="single" w:color="#418BC9"/>
              <w:top w:sz="16.0" w:val="single" w:color="#418BC9"/>
              <w:bottom w:sz="4.0" w:val="single" w:color="#A9AEB1"/>
            </w:tcBorders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6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Mode</w:t>
            </w:r>
          </w:p>
        </w:tc>
        <w:tc>
          <w:tcPr>
            <w:tcW w:type="dxa" w:w="8976"/>
            <w:tcBorders>
              <w:top w:sz="16.0" w:val="single" w:color="#418BC9"/>
              <w:bottom w:sz="4.0" w:val="single" w:color="#A9AEB1"/>
            </w:tcBorders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6" w:after="0"/>
              <w:ind w:left="184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Description</w:t>
            </w:r>
          </w:p>
        </w:tc>
      </w:tr>
      <w:tr>
        <w:trPr>
          <w:trHeight w:hRule="exact" w:val="790"/>
        </w:trPr>
        <w:tc>
          <w:tcPr>
            <w:tcW w:type="dxa" w:w="9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288.0000000000001" w:type="dxa"/>
            </w:tblPr>
            <w:tblGrid>
              <w:gridCol w:w="900"/>
            </w:tblGrid>
            <w:tr>
              <w:trPr>
                <w:trHeight w:hRule="exact" w:val="260"/>
              </w:trPr>
              <w:tc>
                <w:tcPr>
                  <w:tcW w:type="dxa" w:w="280"/>
                  <w:tcBorders>
                    <w:start w:sz="8.0" w:val="single" w:color="#545D63"/>
                    <w:top w:sz="8.0" w:val="single" w:color="#545D63"/>
                    <w:end w:sz="8.0" w:val="single" w:color="#545D63"/>
                    <w:bottom w:sz="8.0" w:val="single" w:color="#545D63"/>
                  </w:tcBorders>
                  <w:shd w:fill="ffffff"/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897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8" w:lineRule="exact" w:before="78" w:after="0"/>
              <w:ind w:left="184" w:right="3744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Provisions sur charges avec régularisation annuelle </w:t>
            </w: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Montant provisionnel mensuel avec ajustement en fin d’année</w:t>
            </w:r>
          </w:p>
        </w:tc>
      </w:tr>
      <w:tr>
        <w:trPr>
          <w:trHeight w:hRule="exact" w:val="790"/>
        </w:trPr>
        <w:tc>
          <w:tcPr>
            <w:tcW w:type="dxa" w:w="9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288.0000000000001" w:type="dxa"/>
            </w:tblPr>
            <w:tblGrid>
              <w:gridCol w:w="900"/>
            </w:tblGrid>
            <w:tr>
              <w:trPr>
                <w:trHeight w:hRule="exact" w:val="260"/>
              </w:trPr>
              <w:tc>
                <w:tcPr>
                  <w:tcW w:type="dxa" w:w="280"/>
                  <w:tcBorders>
                    <w:start w:sz="8.0" w:val="single" w:color="#545D63"/>
                    <w:top w:sz="8.0" w:val="single" w:color="#545D63"/>
                    <w:end w:sz="8.0" w:val="single" w:color="#545D63"/>
                    <w:bottom w:sz="8.0" w:val="single" w:color="#545D63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8976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82" w:after="0"/>
              <w:ind w:left="184" w:right="4176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Paiement périodique des charges sans provision </w:t>
            </w: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Paiement direct des charges réelles selon échéances</w:t>
            </w:r>
          </w:p>
        </w:tc>
      </w:tr>
      <w:tr>
        <w:trPr>
          <w:trHeight w:hRule="exact" w:val="790"/>
        </w:trPr>
        <w:tc>
          <w:tcPr>
            <w:tcW w:type="dxa" w:w="900"/>
            <w:tcBorders>
              <w:start w:sz="24.0" w:val="single" w:color="#418BC9"/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288.0000000000001" w:type="dxa"/>
            </w:tblPr>
            <w:tblGrid>
              <w:gridCol w:w="900"/>
            </w:tblGrid>
            <w:tr>
              <w:trPr>
                <w:trHeight w:hRule="exact" w:val="260"/>
              </w:trPr>
              <w:tc>
                <w:tcPr>
                  <w:tcW w:type="dxa" w:w="280"/>
                  <w:tcBorders>
                    <w:start w:sz="8.0" w:val="single" w:color="#545D63"/>
                    <w:top w:sz="8.0" w:val="single" w:color="#545D63"/>
                    <w:end w:sz="8.0" w:val="single" w:color="#545D63"/>
                    <w:bottom w:sz="8.0" w:val="single" w:color="#545D63"/>
                  </w:tcBorders>
                  <w:shd w:fill="ffffff"/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8976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82" w:after="0"/>
              <w:ind w:left="184" w:right="4176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Récupération sous forme de forfait (colocation) </w:t>
            </w:r>
            <w:r>
              <w:br/>
            </w: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Montant forfaitaire : à déterminer</w:t>
            </w:r>
          </w:p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3322"/>
        <w:gridCol w:w="3322"/>
        <w:gridCol w:w="3322"/>
      </w:tblGrid>
      <w:tr>
        <w:trPr>
          <w:trHeight w:hRule="exact" w:val="464"/>
        </w:trPr>
        <w:tc>
          <w:tcPr>
            <w:tcW w:type="dxa" w:w="6006"/>
            <w:gridSpan w:val="2"/>
            <w:tcBorders>
              <w:start w:sz="24.0" w:val="single" w:color="#418BC9"/>
              <w:bottom w:sz="8.0" w:val="single" w:color="#278227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6006"/>
            </w:tblGrid>
            <w:tr>
              <w:trPr>
                <w:trHeight w:hRule="exact" w:val="338"/>
              </w:trPr>
              <w:tc>
                <w:tcPr>
                  <w:tcW w:type="dxa" w:w="600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6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Montant des provisions sur charges ou forfait de charges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760"/>
            <w:tcBorders>
              <w:bottom w:sz="8.0" w:val="single" w:color="#278227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84"/>
        </w:trPr>
        <w:tc>
          <w:tcPr>
            <w:tcW w:type="dxa" w:w="2940"/>
            <w:tcBorders>
              <w:start w:sz="24.0" w:val="single" w:color="#418BC9"/>
              <w:top w:sz="8.0" w:val="single" w:color="#278227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80" w:after="0"/>
              <w:ind w:left="22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288228"/>
                <w:sz w:val="21"/>
              </w:rPr>
              <w:t>Provisions mensuelles</w:t>
            </w:r>
          </w:p>
        </w:tc>
        <w:tc>
          <w:tcPr>
            <w:tcW w:type="dxa" w:w="3066"/>
            <w:tcBorders>
              <w:top w:sz="8.0" w:val="single" w:color="#278227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80" w:after="0"/>
              <w:ind w:left="5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288228"/>
                <w:sz w:val="21"/>
              </w:rPr>
              <w:t>Forfait colocation</w:t>
            </w:r>
          </w:p>
        </w:tc>
        <w:tc>
          <w:tcPr>
            <w:tcW w:type="dxa" w:w="3760"/>
            <w:vMerge w:val="restart"/>
            <w:tcBorders>
              <w:top w:sz="8.0" w:val="single" w:color="#278227"/>
            </w:tcBorders>
            <w:shd w:fill="e9f2e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140" w:after="0"/>
              <w:ind w:left="696" w:right="158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288228"/>
                <w:sz w:val="21"/>
              </w:rPr>
              <w:t>Total mensuel</w:t>
            </w:r>
            <w:r>
              <w:br/>
            </w: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À préciser</w:t>
            </w:r>
          </w:p>
        </w:tc>
      </w:tr>
      <w:tr>
        <w:trPr>
          <w:trHeight w:hRule="exact" w:val="406"/>
        </w:trPr>
        <w:tc>
          <w:tcPr>
            <w:tcW w:type="dxa" w:w="2940"/>
            <w:tcBorders>
              <w:start w:sz="24.0" w:val="single" w:color="#418BC9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44" w:after="0"/>
              <w:ind w:left="222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applicable</w:t>
            </w:r>
          </w:p>
        </w:tc>
        <w:tc>
          <w:tcPr>
            <w:tcW w:type="dxa" w:w="3066"/>
            <w:tcBorders/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44" w:after="0"/>
              <w:ind w:left="53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applicable</w:t>
            </w:r>
          </w:p>
        </w:tc>
        <w:tc>
          <w:tcPr>
            <w:tcW w:type="dxa" w:w="3322"/>
            <w:vMerge/>
            <w:tcBorders>
              <w:top w:sz="8.0" w:val="single" w:color="#278227"/>
            </w:tcBorders>
          </w:tcPr>
          <w:p/>
        </w:tc>
      </w:tr>
      <w:tr>
        <w:trPr>
          <w:trHeight w:hRule="exact" w:val="100"/>
        </w:trPr>
        <w:tc>
          <w:tcPr>
            <w:tcW w:type="dxa" w:w="9766"/>
            <w:gridSpan w:val="3"/>
            <w:tcBorders/>
            <w:shd w:fill="e9f2e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58"/>
        </w:trPr>
        <w:tc>
          <w:tcPr>
            <w:tcW w:type="dxa" w:w="9766"/>
            <w:tcBorders>
              <w:start w:sz="24.0" w:val="single" w:color="#418BC9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6"/>
            </w:tblGrid>
            <w:tr>
              <w:trPr>
                <w:trHeight w:hRule="exact" w:val="338"/>
              </w:trPr>
              <w:tc>
                <w:tcPr>
                  <w:tcW w:type="dxa" w:w="350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6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Détail des charges récupérables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06"/>
        </w:trPr>
        <w:tc>
          <w:tcPr>
            <w:tcW w:type="dxa" w:w="9766"/>
            <w:tcBorders>
              <w:bottom w:sz="8.0" w:val="single" w:color="#545D63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460"/>
        </w:trPr>
        <w:tc>
          <w:tcPr>
            <w:tcW w:type="dxa" w:w="9864"/>
            <w:tcBorders/>
            <w:shd w:fill="edeee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48" w:after="0"/>
              <w:ind w:left="210" w:right="0" w:firstLine="0"/>
              <w:jc w:val="left"/>
            </w:pPr>
            <w:r>
              <w:rPr>
                <w:rFonts w:ascii=".SF NS" w:hAnsi=".SF NS" w:eastAsia=".SF NS"/>
                <w:b w:val="0"/>
                <w:i w:val="0"/>
                <w:color w:val="555D64"/>
                <w:sz w:val="21"/>
              </w:rPr>
              <w:t>✗</w:t>
            </w:r>
            <w:r>
              <w:rPr>
                <w:rFonts w:ascii="Avenir Black" w:hAnsi="Avenir Black" w:eastAsia="Avenir Black"/>
                <w:b/>
                <w:i w:val="0"/>
                <w:color w:val="555D64"/>
                <w:sz w:val="21"/>
              </w:rPr>
              <w:t xml:space="preserve"> Aucune charge récupérable standard déclarée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32"/>
        </w:trPr>
        <w:tc>
          <w:tcPr>
            <w:tcW w:type="dxa" w:w="9700"/>
            <w:tcBorders/>
            <w:shd w:fill="edeee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0" w:right="0" w:firstLine="0"/>
              <w:jc w:val="center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Seules les charges spécifiques (assurance colocation, économies d’énergie) peuvent s’appliquer selon les sections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450"/>
        </w:trPr>
        <w:tc>
          <w:tcPr>
            <w:tcW w:type="dxa" w:w="9666"/>
            <w:tcBorders>
              <w:bottom w:sz="8.0" w:val="single" w:color="#545D63"/>
            </w:tcBorders>
            <w:shd w:fill="edeee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110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dédiées</w:t>
            </w:r>
          </w:p>
        </w:tc>
      </w:tr>
    </w:tbl>
    <w:p>
      <w:pPr>
        <w:autoSpaceDN w:val="0"/>
        <w:autoSpaceDE w:val="0"/>
        <w:widowControl/>
        <w:spacing w:line="278" w:lineRule="exact" w:before="1596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6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2895600</wp:posOffset>
            </wp:positionV>
            <wp:extent cx="6299200" cy="469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69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9966"/>
      </w:tblGrid>
      <w:tr>
        <w:trPr>
          <w:trHeight w:hRule="exact" w:val="840"/>
        </w:trPr>
        <w:tc>
          <w:tcPr>
            <w:tcW w:type="dxa" w:w="9874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9874"/>
            </w:tblGrid>
            <w:tr>
              <w:trPr>
                <w:trHeight w:hRule="exact" w:val="342"/>
              </w:trPr>
              <w:tc>
                <w:tcPr>
                  <w:tcW w:type="dxa" w:w="9134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IV.3) C. CONTRIBUTION POUR LE PARTAGE DES ÉCONOMIES DE CHARGES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1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58"/>
        </w:trPr>
        <w:tc>
          <w:tcPr>
            <w:tcW w:type="dxa" w:w="9766"/>
            <w:tcBorders>
              <w:start w:sz="24.0" w:val="single" w:color="#418BC9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6"/>
            </w:tblGrid>
            <w:tr>
              <w:trPr>
                <w:trHeight w:hRule="exact" w:val="338"/>
              </w:trPr>
              <w:tc>
                <w:tcPr>
                  <w:tcW w:type="dxa" w:w="4260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6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Participation aux économies d’énergie</w:t>
                  </w:r>
                  <w:r>
                    <w:rPr>
                      <w:w w:val="96.92307985745944"/>
                      <w:rFonts w:ascii="Avenir" w:hAnsi="Avenir" w:eastAsia="Avenir"/>
                      <w:b w:val="0"/>
                      <w:i w:val="0"/>
                      <w:color w:val="000000"/>
                      <w:sz w:val="13"/>
                    </w:rPr>
                    <w:t>8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06"/>
        </w:trPr>
        <w:tc>
          <w:tcPr>
            <w:tcW w:type="dxa" w:w="9766"/>
            <w:tcBorders>
              <w:bottom w:sz="8.0" w:val="single" w:color="#545D63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460"/>
        </w:trPr>
        <w:tc>
          <w:tcPr>
            <w:tcW w:type="dxa" w:w="9864"/>
            <w:tcBorders/>
            <w:shd w:fill="edeee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50" w:after="0"/>
              <w:ind w:left="210" w:right="0" w:firstLine="0"/>
              <w:jc w:val="left"/>
            </w:pPr>
            <w:r>
              <w:rPr>
                <w:rFonts w:ascii=".SF NS" w:hAnsi=".SF NS" w:eastAsia=".SF NS"/>
                <w:b w:val="0"/>
                <w:i w:val="0"/>
                <w:color w:val="555D64"/>
                <w:sz w:val="21"/>
              </w:rPr>
              <w:t>✗</w:t>
            </w:r>
            <w:r>
              <w:rPr>
                <w:rFonts w:ascii="Avenir Black" w:hAnsi="Avenir Black" w:eastAsia="Avenir Black"/>
                <w:b/>
                <w:i w:val="0"/>
                <w:color w:val="555D64"/>
                <w:sz w:val="21"/>
              </w:rPr>
              <w:t xml:space="preserve"> Aucune contribution pour économies de charges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416"/>
        </w:trPr>
        <w:tc>
          <w:tcPr>
            <w:tcW w:type="dxa" w:w="9666"/>
            <w:tcBorders>
              <w:bottom w:sz="8.0" w:val="single" w:color="#545D63"/>
            </w:tcBorders>
            <w:shd w:fill="edeee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6" w:after="0"/>
              <w:ind w:left="110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Pas de travaux d’économies d’énergie en cours de remboursement</w:t>
            </w:r>
          </w:p>
        </w:tc>
      </w:tr>
    </w:tbl>
    <w:p>
      <w:pPr>
        <w:autoSpaceDN w:val="0"/>
        <w:autoSpaceDE w:val="0"/>
        <w:widowControl/>
        <w:spacing w:line="5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2491"/>
        <w:gridCol w:w="2491"/>
        <w:gridCol w:w="2491"/>
        <w:gridCol w:w="2491"/>
      </w:tblGrid>
      <w:tr>
        <w:trPr>
          <w:trHeight w:hRule="exact" w:val="362"/>
        </w:trPr>
        <w:tc>
          <w:tcPr>
            <w:tcW w:type="dxa" w:w="9876"/>
            <w:gridSpan w:val="4"/>
            <w:tcBorders>
              <w:start w:sz="24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876"/>
            </w:tblGrid>
            <w:tr>
              <w:trPr>
                <w:trHeight w:hRule="exact" w:val="342"/>
              </w:trPr>
              <w:tc>
                <w:tcPr>
                  <w:tcW w:type="dxa" w:w="739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IV.4) D. ASSURANCE POUR LE COMPTE DES COLOCATAIRES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018"/>
        </w:trPr>
        <w:tc>
          <w:tcPr>
            <w:tcW w:type="dxa" w:w="560"/>
            <w:tcBorders>
              <w:start w:sz="24.0" w:val="single" w:color="#1E5182"/>
              <w:bottom w:sz="16.0" w:val="single" w:color="#C78C27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332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316"/>
            <w:gridSpan w:val="3"/>
            <w:tcBorders>
              <w:bottom w:sz="16.0" w:val="single" w:color="#C78C27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340" w:after="0"/>
              <w:ind w:left="9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Assurance souscrite par le bailleur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9</w:t>
            </w:r>
          </w:p>
        </w:tc>
      </w:tr>
      <w:tr>
        <w:trPr>
          <w:trHeight w:hRule="exact" w:val="484"/>
        </w:trPr>
        <w:tc>
          <w:tcPr>
            <w:tcW w:type="dxa" w:w="2320"/>
            <w:gridSpan w:val="2"/>
            <w:tcBorders>
              <w:start w:sz="24.0" w:val="single" w:color="#1E5182"/>
              <w:top w:sz="16.0" w:val="single" w:color="#C78C27"/>
              <w:bottom w:sz="4.0" w:val="single" w:color="#A9AEB1"/>
            </w:tcBorders>
            <w:shd w:fill="f9f3e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86" w:after="0"/>
              <w:ind w:left="0" w:right="58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Assurance</w:t>
            </w:r>
          </w:p>
        </w:tc>
        <w:tc>
          <w:tcPr>
            <w:tcW w:type="dxa" w:w="2460"/>
            <w:tcBorders>
              <w:top w:sz="16.0" w:val="single" w:color="#C78C27"/>
              <w:bottom w:sz="4.0" w:val="single" w:color="#A9AEB1"/>
            </w:tcBorders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86" w:after="0"/>
              <w:ind w:left="59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Montant annuel</w:t>
            </w:r>
          </w:p>
        </w:tc>
        <w:tc>
          <w:tcPr>
            <w:tcW w:type="dxa" w:w="5096"/>
            <w:tcBorders>
              <w:top w:sz="16.0" w:val="single" w:color="#C78C27"/>
              <w:bottom w:sz="4.0" w:val="single" w:color="#A9AEB1"/>
            </w:tcBorders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86" w:after="0"/>
              <w:ind w:left="32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Répartition mensuelle</w:t>
            </w:r>
          </w:p>
        </w:tc>
      </w:tr>
      <w:tr>
        <w:trPr>
          <w:trHeight w:hRule="exact" w:val="486"/>
        </w:trPr>
        <w:tc>
          <w:tcPr>
            <w:tcW w:type="dxa" w:w="2320"/>
            <w:gridSpan w:val="2"/>
            <w:tcBorders>
              <w:start w:sz="24.0" w:val="single" w:color="#1E5182"/>
              <w:top w:sz="4.0" w:val="single" w:color="#A9AEB1"/>
            </w:tcBorders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064.0" w:type="dxa"/>
            </w:tblPr>
            <w:tblGrid>
              <w:gridCol w:w="2320"/>
            </w:tblGrid>
            <w:tr>
              <w:trPr>
                <w:trHeight w:hRule="exact" w:val="260"/>
              </w:trPr>
              <w:tc>
                <w:tcPr>
                  <w:tcW w:type="dxa" w:w="280"/>
                  <w:tcBorders>
                    <w:start w:sz="8.0" w:val="single" w:color="#545D63"/>
                    <w:top w:sz="8.0" w:val="single" w:color="#545D63"/>
                    <w:end w:sz="8.0" w:val="single" w:color="#545D63"/>
                    <w:bottom w:sz="8.0" w:val="single" w:color="#545D63"/>
                  </w:tcBorders>
                  <w:shd w:fill="ffffff"/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46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2" w:after="0"/>
              <w:ind w:left="0" w:right="488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spécifié</w:t>
            </w:r>
          </w:p>
        </w:tc>
        <w:tc>
          <w:tcPr>
            <w:tcW w:type="dxa" w:w="5096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2" w:after="0"/>
              <w:ind w:left="320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Calcul non applicable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00.0" w:type="dxa"/>
      </w:tblPr>
      <w:tblGrid>
        <w:gridCol w:w="9966"/>
      </w:tblGrid>
      <w:tr>
        <w:trPr>
          <w:trHeight w:hRule="exact" w:val="408"/>
        </w:trPr>
        <w:tc>
          <w:tcPr>
            <w:tcW w:type="dxa" w:w="524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60" w:after="0"/>
              <w:ind w:left="516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555D64"/>
                <w:sz w:val="21"/>
              </w:rPr>
              <w:t>NON</w:t>
            </w:r>
          </w:p>
        </w:tc>
      </w:tr>
    </w:tbl>
    <w:p>
      <w:pPr>
        <w:autoSpaceDN w:val="0"/>
        <w:autoSpaceDE w:val="0"/>
        <w:widowControl/>
        <w:spacing w:line="57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0"/>
        </w:trPr>
        <w:tc>
          <w:tcPr>
            <w:tcW w:type="dxa" w:w="4380"/>
            <w:tcBorders>
              <w:start w:sz="24.0" w:val="single" w:color="#1E5182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24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IV.5) E. MODALITÉS DE PAIEMENT</w:t>
            </w:r>
          </w:p>
        </w:tc>
      </w:tr>
    </w:tbl>
    <w:p>
      <w:pPr>
        <w:autoSpaceDN w:val="0"/>
        <w:autoSpaceDE w:val="0"/>
        <w:widowControl/>
        <w:spacing w:line="19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464"/>
        </w:trPr>
        <w:tc>
          <w:tcPr>
            <w:tcW w:type="dxa" w:w="5100"/>
            <w:tcBorders>
              <w:start w:sz="24.0" w:val="single" w:color="#418BC9"/>
              <w:bottom w:sz="16.0" w:val="single" w:color="#1E5182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5100"/>
            </w:tblGrid>
            <w:tr>
              <w:trPr>
                <w:trHeight w:hRule="exact" w:val="340"/>
              </w:trPr>
              <w:tc>
                <w:tcPr>
                  <w:tcW w:type="dxa" w:w="5100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8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Conditions de paiement du loyer et des charges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4606"/>
            <w:tcBorders>
              <w:bottom w:sz="16.0" w:val="single" w:color="#1E5182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560"/>
        </w:trPr>
        <w:tc>
          <w:tcPr>
            <w:tcW w:type="dxa" w:w="5100"/>
            <w:tcBorders>
              <w:start w:sz="24.0" w:val="single" w:color="#418BC9"/>
              <w:top w:sz="16.0" w:val="single" w:color="#1E5182"/>
              <w:bottom w:sz="16.0" w:val="single" w:color="#1E5182"/>
            </w:tcBorders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4" w:lineRule="exact" w:before="138" w:after="0"/>
              <w:ind w:left="286" w:right="1728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1"/>
              </w:rPr>
              <w:t>PÉRIODICITÉ DE PAIEMENT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¹¹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8"/>
              </w:rPr>
              <w:t xml:space="preserve">Mensuelle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20"/>
              </w:rPr>
              <w:t>Paiement : à terme échu</w:t>
            </w:r>
          </w:p>
        </w:tc>
        <w:tc>
          <w:tcPr>
            <w:tcW w:type="dxa" w:w="4606"/>
            <w:tcBorders>
              <w:top w:sz="16.0" w:val="single" w:color="#1E5182"/>
              <w:bottom w:sz="16.0" w:val="single" w:color="#1E5182"/>
            </w:tcBorders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4" w:lineRule="exact" w:before="138" w:after="0"/>
              <w:ind w:left="42" w:right="1728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1"/>
              </w:rPr>
              <w:t xml:space="preserve">DATE ET MODALITÉS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8"/>
              </w:rPr>
              <w:t xml:space="preserve">Le 1 de chaque mois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20"/>
              </w:rPr>
              <w:t>Par virement bancaire</w:t>
            </w:r>
          </w:p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464"/>
        </w:trPr>
        <w:tc>
          <w:tcPr>
            <w:tcW w:type="dxa" w:w="5678"/>
            <w:tcBorders>
              <w:start w:sz="24.0" w:val="single" w:color="#418BC9"/>
              <w:bottom w:sz="16.0" w:val="single" w:color="#278227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5678"/>
            </w:tblGrid>
            <w:tr>
              <w:trPr>
                <w:trHeight w:hRule="exact" w:val="338"/>
              </w:trPr>
              <w:tc>
                <w:tcPr>
                  <w:tcW w:type="dxa" w:w="5678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6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Montant total dû à la première échéance de paiement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4198"/>
            <w:tcBorders>
              <w:bottom w:sz="16.0" w:val="single" w:color="#278227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68"/>
        </w:trPr>
        <w:tc>
          <w:tcPr>
            <w:tcW w:type="dxa" w:w="5678"/>
            <w:tcBorders>
              <w:start w:sz="24.0" w:val="single" w:color="#418BC9"/>
              <w:top w:sz="16.0" w:val="single" w:color="#278227"/>
              <w:bottom w:sz="4.0" w:val="single" w:color="#A9AEB1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28" w:after="0"/>
              <w:ind w:left="1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Composant</w:t>
            </w:r>
          </w:p>
        </w:tc>
        <w:tc>
          <w:tcPr>
            <w:tcW w:type="dxa" w:w="4198"/>
            <w:tcBorders>
              <w:top w:sz="16.0" w:val="single" w:color="#278227"/>
              <w:bottom w:sz="4.0" w:val="single" w:color="#A9AEB1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28" w:after="0"/>
              <w:ind w:left="0" w:right="22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Montant</w:t>
            </w:r>
          </w:p>
        </w:tc>
      </w:tr>
      <w:tr>
        <w:trPr>
          <w:trHeight w:hRule="exact" w:val="568"/>
        </w:trPr>
        <w:tc>
          <w:tcPr>
            <w:tcW w:type="dxa" w:w="5678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44" w:after="0"/>
              <w:ind w:left="18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Loyer hors charges</w:t>
            </w:r>
          </w:p>
        </w:tc>
        <w:tc>
          <w:tcPr>
            <w:tcW w:type="dxa" w:w="4198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44" w:after="0"/>
              <w:ind w:left="0" w:right="22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0 €</w:t>
            </w:r>
          </w:p>
        </w:tc>
      </w:tr>
      <w:tr>
        <w:trPr>
          <w:trHeight w:hRule="exact" w:val="568"/>
        </w:trPr>
        <w:tc>
          <w:tcPr>
            <w:tcW w:type="dxa" w:w="5678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44" w:after="0"/>
              <w:ind w:left="18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Charges récupérables</w:t>
            </w:r>
          </w:p>
        </w:tc>
        <w:tc>
          <w:tcPr>
            <w:tcW w:type="dxa" w:w="4198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44" w:after="0"/>
              <w:ind w:left="0" w:right="22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0 €</w:t>
            </w:r>
          </w:p>
        </w:tc>
      </w:tr>
      <w:tr>
        <w:trPr>
          <w:trHeight w:hRule="exact" w:val="570"/>
        </w:trPr>
        <w:tc>
          <w:tcPr>
            <w:tcW w:type="dxa" w:w="5678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46" w:after="0"/>
              <w:ind w:left="18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Contribution économies de charges</w:t>
            </w:r>
          </w:p>
        </w:tc>
        <w:tc>
          <w:tcPr>
            <w:tcW w:type="dxa" w:w="4198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46" w:after="0"/>
              <w:ind w:left="0" w:right="22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0 €</w:t>
            </w:r>
          </w:p>
        </w:tc>
      </w:tr>
      <w:tr>
        <w:trPr>
          <w:trHeight w:hRule="exact" w:val="570"/>
        </w:trPr>
        <w:tc>
          <w:tcPr>
            <w:tcW w:type="dxa" w:w="5678"/>
            <w:tcBorders>
              <w:start w:sz="24.0" w:val="single" w:color="#418BC9"/>
              <w:top w:sz="4.0" w:val="single" w:color="#A9AEB1"/>
              <w:bottom w:sz="16.0" w:val="single" w:color="#1E5182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44" w:after="0"/>
              <w:ind w:left="18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Assurance colocation</w:t>
            </w:r>
          </w:p>
        </w:tc>
        <w:tc>
          <w:tcPr>
            <w:tcW w:type="dxa" w:w="4198"/>
            <w:tcBorders>
              <w:top w:sz="4.0" w:val="single" w:color="#A9AEB1"/>
              <w:bottom w:sz="16.0" w:val="single" w:color="#1E5182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44" w:after="0"/>
              <w:ind w:left="0" w:right="22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0 €</w:t>
            </w:r>
          </w:p>
        </w:tc>
      </w:tr>
      <w:tr>
        <w:trPr>
          <w:trHeight w:hRule="exact" w:val="618"/>
        </w:trPr>
        <w:tc>
          <w:tcPr>
            <w:tcW w:type="dxa" w:w="5678"/>
            <w:tcBorders>
              <w:start w:sz="24.0" w:val="single" w:color="#418BC9"/>
              <w:top w:sz="16.0" w:val="single" w:color="#1E5182"/>
            </w:tcBorders>
            <w:shd w:fill="e8ed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134" w:after="0"/>
              <w:ind w:left="1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4"/>
              </w:rPr>
              <w:t>TOTAL MENSUEL</w:t>
            </w:r>
          </w:p>
        </w:tc>
        <w:tc>
          <w:tcPr>
            <w:tcW w:type="dxa" w:w="4198"/>
            <w:tcBorders>
              <w:top w:sz="16.0" w:val="single" w:color="#1E5182"/>
            </w:tcBorders>
            <w:shd w:fill="e8ed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08" w:after="0"/>
              <w:ind w:left="0" w:right="22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8"/>
              </w:rPr>
              <w:t>0 €</w:t>
            </w:r>
          </w:p>
        </w:tc>
      </w:tr>
    </w:tbl>
    <w:p>
      <w:pPr>
        <w:autoSpaceDN w:val="0"/>
        <w:autoSpaceDE w:val="0"/>
        <w:widowControl/>
        <w:spacing w:line="278" w:lineRule="exact" w:before="1428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7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4978400</wp:posOffset>
            </wp:positionV>
            <wp:extent cx="6299200" cy="11811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181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8115300</wp:posOffset>
            </wp:positionV>
            <wp:extent cx="6299200" cy="77470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74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.999999999999943" w:type="dxa"/>
      </w:tblPr>
      <w:tblGrid>
        <w:gridCol w:w="4963"/>
        <w:gridCol w:w="4963"/>
      </w:tblGrid>
      <w:tr>
        <w:trPr>
          <w:trHeight w:hRule="exact" w:val="1670"/>
        </w:trPr>
        <w:tc>
          <w:tcPr>
            <w:tcW w:type="dxa" w:w="6024"/>
            <w:tcBorders>
              <w:top w:sz="4.0" w:val="single" w:color="#708095"/>
              <w:bottom w:sz="8.0" w:val="single" w:color="#A9AE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6024"/>
            </w:tblGrid>
            <w:tr>
              <w:trPr>
                <w:trHeight w:hRule="exact" w:val="796"/>
              </w:trPr>
              <w:tc>
                <w:tcPr>
                  <w:tcW w:type="dxa" w:w="4540"/>
                  <w:tcBorders/>
                  <w:shd w:fill="184068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82" w:lineRule="exact" w:before="226" w:after="0"/>
                    <w:ind w:left="252" w:right="0" w:firstLine="0"/>
                    <w:jc w:val="left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FFFFFF"/>
                      <w:sz w:val="28"/>
                    </w:rPr>
                    <w:t>TOTAL MENSUEL DÛ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850"/>
            <w:tcBorders>
              <w:top w:sz="4.0" w:val="single" w:color="#708095"/>
              <w:bottom w:sz="8.0" w:val="single" w:color="#A9AE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602" w:lineRule="exact" w:before="594" w:after="0"/>
              <w:ind w:left="0" w:right="256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44"/>
              </w:rPr>
              <w:t>0 €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26"/>
      </w:tblGrid>
      <w:tr>
        <w:trPr>
          <w:trHeight w:hRule="exact" w:val="864"/>
        </w:trPr>
        <w:tc>
          <w:tcPr>
            <w:tcW w:type="dxa" w:w="98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526" w:after="0"/>
              <w:ind w:left="21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1"/>
              </w:rPr>
              <w:t>Notes légales et explicatives</w:t>
            </w:r>
          </w:p>
        </w:tc>
      </w:tr>
    </w:tbl>
    <w:p>
      <w:pPr>
        <w:autoSpaceDN w:val="0"/>
        <w:autoSpaceDE w:val="0"/>
        <w:widowControl/>
        <w:spacing w:line="280" w:lineRule="exact" w:before="8" w:after="0"/>
        <w:ind w:left="240" w:right="144" w:firstLine="0"/>
        <w:jc w:val="left"/>
      </w:pPr>
      <w:r>
        <w:rPr>
          <w:w w:val="98.18181991577148"/>
          <w:rFonts w:ascii="Avenir" w:hAnsi="Avenir" w:eastAsia="Avenir"/>
          <w:b w:val="0"/>
          <w:i w:val="0"/>
          <w:color w:val="000000"/>
          <w:sz w:val="11"/>
        </w:rPr>
        <w:t>4</w:t>
      </w:r>
      <w:r>
        <w:rPr>
          <w:rFonts w:ascii="Avenir" w:hAnsi="Avenir" w:eastAsia="Avenir"/>
          <w:b w:val="0"/>
          <w:i w:val="0"/>
          <w:color w:val="000000"/>
          <w:sz w:val="18"/>
        </w:rPr>
        <w:t xml:space="preserve"> Lorsqu’un complément de loyer est appliqué, le loyer mensuel s’entend comme la somme du loyer de base et de ce </w:t>
      </w:r>
      <w:r>
        <w:rPr>
          <w:rFonts w:ascii="Avenir" w:hAnsi="Avenir" w:eastAsia="Avenir"/>
          <w:b w:val="0"/>
          <w:i w:val="0"/>
          <w:color w:val="000000"/>
          <w:sz w:val="18"/>
        </w:rPr>
        <w:t>complément.</w:t>
      </w:r>
    </w:p>
    <w:p>
      <w:pPr>
        <w:autoSpaceDN w:val="0"/>
        <w:autoSpaceDE w:val="0"/>
        <w:widowControl/>
        <w:spacing w:line="280" w:lineRule="exact" w:before="10" w:after="0"/>
        <w:ind w:left="240" w:right="240" w:firstLine="0"/>
        <w:jc w:val="both"/>
      </w:pPr>
      <w:r>
        <w:rPr>
          <w:w w:val="98.18181991577148"/>
          <w:rFonts w:ascii="Avenir" w:hAnsi="Avenir" w:eastAsia="Avenir"/>
          <w:b w:val="0"/>
          <w:i w:val="0"/>
          <w:color w:val="000000"/>
          <w:sz w:val="11"/>
        </w:rPr>
        <w:t>5</w:t>
      </w:r>
      <w:r>
        <w:rPr>
          <w:rFonts w:ascii="Avenir" w:hAnsi="Avenir" w:eastAsia="Avenir"/>
          <w:b w:val="0"/>
          <w:i w:val="0"/>
          <w:color w:val="000000"/>
          <w:sz w:val="18"/>
        </w:rPr>
        <w:t xml:space="preserve"> Zones d’urbanisation continue de plus de 50 000 habitants où il existe un déséquilibre marqué entre l’offre et la </w:t>
      </w:r>
      <w:r>
        <w:rPr>
          <w:rFonts w:ascii="Avenir" w:hAnsi="Avenir" w:eastAsia="Avenir"/>
          <w:b w:val="0"/>
          <w:i w:val="0"/>
          <w:color w:val="000000"/>
          <w:sz w:val="18"/>
        </w:rPr>
        <w:t xml:space="preserve">demande de logements, entraînant des difficultés sérieuses d’accès au logement sur l’ensemble du parc résidentiel </w:t>
      </w:r>
      <w:r>
        <w:rPr>
          <w:rFonts w:ascii="Avenir" w:hAnsi="Avenir" w:eastAsia="Avenir"/>
          <w:b w:val="0"/>
          <w:i w:val="0"/>
          <w:color w:val="000000"/>
          <w:sz w:val="18"/>
        </w:rPr>
        <w:t>telles que définies par décret.</w:t>
      </w:r>
    </w:p>
    <w:p>
      <w:pPr>
        <w:autoSpaceDN w:val="0"/>
        <w:autoSpaceDE w:val="0"/>
        <w:widowControl/>
        <w:spacing w:line="290" w:lineRule="exact" w:before="0" w:after="0"/>
        <w:ind w:left="240" w:right="288" w:firstLine="0"/>
        <w:jc w:val="left"/>
      </w:pPr>
      <w:r>
        <w:rPr>
          <w:w w:val="98.18181991577148"/>
          <w:rFonts w:ascii="Avenir" w:hAnsi="Avenir" w:eastAsia="Avenir"/>
          <w:b w:val="0"/>
          <w:i w:val="0"/>
          <w:color w:val="000000"/>
          <w:sz w:val="11"/>
        </w:rPr>
        <w:t>6</w:t>
      </w:r>
      <w:r>
        <w:rPr>
          <w:rFonts w:ascii="Avenir" w:hAnsi="Avenir" w:eastAsia="Avenir"/>
          <w:b w:val="0"/>
          <w:i w:val="0"/>
          <w:color w:val="000000"/>
          <w:sz w:val="18"/>
        </w:rPr>
        <w:t xml:space="preserve"> Mention obligatoire si le précédent locataire a quitté le logement moins de dix-huit mois avant la signature du bail. </w:t>
      </w:r>
      <w:r>
        <w:rPr>
          <w:w w:val="98.18181991577148"/>
          <w:rFonts w:ascii="Avenir" w:hAnsi="Avenir" w:eastAsia="Avenir"/>
          <w:b w:val="0"/>
          <w:i w:val="0"/>
          <w:color w:val="000000"/>
          <w:sz w:val="11"/>
        </w:rPr>
        <w:t>7</w:t>
      </w:r>
      <w:r>
        <w:rPr>
          <w:rFonts w:ascii="Avenir" w:hAnsi="Avenir" w:eastAsia="Avenir"/>
          <w:b w:val="0"/>
          <w:i w:val="0"/>
          <w:color w:val="000000"/>
          <w:sz w:val="18"/>
        </w:rPr>
        <w:t xml:space="preserve"> Modalités de révision du forfait de charges en colocation selon les dispositions légales.</w:t>
      </w:r>
    </w:p>
    <w:p>
      <w:pPr>
        <w:autoSpaceDN w:val="0"/>
        <w:autoSpaceDE w:val="0"/>
        <w:widowControl/>
        <w:spacing w:line="280" w:lineRule="exact" w:before="10" w:after="0"/>
        <w:ind w:left="240" w:right="144" w:firstLine="0"/>
        <w:jc w:val="left"/>
      </w:pPr>
      <w:r>
        <w:rPr>
          <w:w w:val="98.18181991577148"/>
          <w:rFonts w:ascii="Avenir" w:hAnsi="Avenir" w:eastAsia="Avenir"/>
          <w:b w:val="0"/>
          <w:i w:val="0"/>
          <w:color w:val="000000"/>
          <w:sz w:val="11"/>
        </w:rPr>
        <w:t>8</w:t>
      </w:r>
      <w:r>
        <w:rPr>
          <w:rFonts w:ascii="Avenir" w:hAnsi="Avenir" w:eastAsia="Avenir"/>
          <w:b w:val="0"/>
          <w:i w:val="0"/>
          <w:color w:val="000000"/>
          <w:sz w:val="18"/>
        </w:rPr>
        <w:t xml:space="preserve"> Contribution pour le partage des économies de charges selon la Loi de Transition Énergétique pour la Croissance </w:t>
      </w:r>
      <w:r>
        <w:rPr>
          <w:rFonts w:ascii="Avenir" w:hAnsi="Avenir" w:eastAsia="Avenir"/>
          <w:b w:val="0"/>
          <w:i w:val="0"/>
          <w:color w:val="000000"/>
          <w:sz w:val="18"/>
        </w:rPr>
        <w:t>Verte.</w:t>
      </w:r>
    </w:p>
    <w:p>
      <w:pPr>
        <w:autoSpaceDN w:val="0"/>
        <w:autoSpaceDE w:val="0"/>
        <w:widowControl/>
        <w:spacing w:line="288" w:lineRule="exact" w:before="2" w:after="26"/>
        <w:ind w:left="240" w:right="864" w:firstLine="0"/>
        <w:jc w:val="left"/>
      </w:pPr>
      <w:r>
        <w:rPr>
          <w:w w:val="98.18181991577148"/>
          <w:rFonts w:ascii="Avenir" w:hAnsi="Avenir" w:eastAsia="Avenir"/>
          <w:b w:val="0"/>
          <w:i w:val="0"/>
          <w:color w:val="000000"/>
          <w:sz w:val="11"/>
        </w:rPr>
        <w:t>9</w:t>
      </w:r>
      <w:r>
        <w:rPr>
          <w:rFonts w:ascii="Avenir" w:hAnsi="Avenir" w:eastAsia="Avenir"/>
          <w:b w:val="0"/>
          <w:i w:val="0"/>
          <w:color w:val="000000"/>
          <w:sz w:val="18"/>
        </w:rPr>
        <w:t xml:space="preserve"> Assurance souscrite par le bailleur pour le compte des colocataires conformément aux dispositions légales. </w:t>
      </w:r>
      <w:r>
        <w:rPr>
          <w:w w:val="98.18181991577148"/>
          <w:rFonts w:ascii="Avenir" w:hAnsi="Avenir" w:eastAsia="Avenir"/>
          <w:b w:val="0"/>
          <w:i w:val="0"/>
          <w:color w:val="000000"/>
          <w:sz w:val="11"/>
        </w:rPr>
        <w:t>10</w:t>
      </w:r>
      <w:r>
        <w:rPr>
          <w:rFonts w:ascii="Avenir" w:hAnsi="Avenir" w:eastAsia="Avenir"/>
          <w:b w:val="0"/>
          <w:i w:val="0"/>
          <w:color w:val="000000"/>
          <w:sz w:val="18"/>
        </w:rPr>
        <w:t xml:space="preserve"> Montant récupérable auprès des colocataires au titre de l’assurance souscrite par le bailleur.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416"/>
        </w:trPr>
        <w:tc>
          <w:tcPr>
            <w:tcW w:type="dxa" w:w="9666"/>
            <w:tcBorders>
              <w:bottom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6" w:after="0"/>
              <w:ind w:left="11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¹¹ La périodicité du paiement peut être mensuelle, trimestrielle ou annuelle selon les termes du bail.</w:t>
            </w:r>
          </w:p>
        </w:tc>
      </w:tr>
    </w:tbl>
    <w:p>
      <w:pPr>
        <w:autoSpaceDN w:val="0"/>
        <w:autoSpaceDE w:val="0"/>
        <w:widowControl/>
        <w:spacing w:line="45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4963"/>
        <w:gridCol w:w="4963"/>
      </w:tblGrid>
      <w:tr>
        <w:trPr>
          <w:trHeight w:hRule="exact" w:val="362"/>
        </w:trPr>
        <w:tc>
          <w:tcPr>
            <w:tcW w:type="dxa" w:w="9760"/>
            <w:gridSpan w:val="2"/>
            <w:tcBorders>
              <w:start w:sz="24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0"/>
            </w:tblGrid>
            <w:tr>
              <w:trPr>
                <w:trHeight w:hRule="exact" w:val="342"/>
              </w:trPr>
              <w:tc>
                <w:tcPr>
                  <w:tcW w:type="dxa" w:w="7134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IV.6) F. DÉPENSES ÉNERGÉTIQUES (POUR INFORMATION)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18"/>
        </w:trPr>
        <w:tc>
          <w:tcPr>
            <w:tcW w:type="dxa" w:w="360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332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2" w:after="0"/>
              <w:ind w:left="10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Estimation des dépenses annuelles d’énergie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Montant estimé des dépenses annuelles d’énergie pour un usage standard de l’ensemble des</w:t>
            </w:r>
          </w:p>
        </w:tc>
      </w:tr>
    </w:tbl>
    <w:p>
      <w:pPr>
        <w:autoSpaceDN w:val="0"/>
        <w:autoSpaceDE w:val="0"/>
        <w:widowControl/>
        <w:spacing w:line="318" w:lineRule="exact" w:before="0" w:after="426"/>
        <w:ind w:left="492" w:right="144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 xml:space="preserve">usages énumérés dans le diagnostic de performance énergétique (chauffage, refroidissement, 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production d’eau chaude sanitaire, éclairage et auxiliaires) mentionné à l’article L. 126-26 du code </w:t>
      </w:r>
      <w:r>
        <w:rPr>
          <w:rFonts w:ascii="Avenir" w:hAnsi="Avenir" w:eastAsia="Avenir"/>
          <w:b w:val="0"/>
          <w:i w:val="0"/>
          <w:color w:val="000000"/>
          <w:sz w:val="21"/>
        </w:rPr>
        <w:t>de la construction et de l’habitation.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566"/>
        </w:trPr>
        <w:tc>
          <w:tcPr>
            <w:tcW w:type="dxa" w:w="9666"/>
            <w:tcBorders>
              <w:top w:sz="8.0" w:val="single" w:color="#545D63"/>
            </w:tcBorders>
            <w:shd w:fill="edeee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244" w:after="0"/>
              <w:ind w:left="506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555D64"/>
                <w:sz w:val="21"/>
              </w:rPr>
              <w:t>Dépenses énergétiques annuelles estimées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10.0" w:type="dxa"/>
      </w:tblPr>
      <w:tblGrid>
        <w:gridCol w:w="9926"/>
      </w:tblGrid>
      <w:tr>
        <w:trPr>
          <w:trHeight w:hRule="exact" w:val="360"/>
        </w:trPr>
        <w:tc>
          <w:tcPr>
            <w:tcW w:type="dxa" w:w="8280"/>
            <w:tcBorders/>
            <w:shd w:fill="edeee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6" w:after="0"/>
              <w:ind w:left="326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000000"/>
                <w:sz w:val="21"/>
              </w:rPr>
              <w:t>Non disponible - Aucun diagnostic de performance énergétique fourni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550"/>
        </w:trPr>
        <w:tc>
          <w:tcPr>
            <w:tcW w:type="dxa" w:w="9666"/>
            <w:tcBorders>
              <w:bottom w:sz="8.0" w:val="single" w:color="#545D63"/>
            </w:tcBorders>
            <w:shd w:fill="edeee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54" w:after="0"/>
              <w:ind w:left="506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………………………………………………………………………………………………………</w:t>
            </w:r>
          </w:p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4963"/>
        <w:gridCol w:w="4963"/>
      </w:tblGrid>
      <w:tr>
        <w:trPr>
          <w:trHeight w:hRule="exact" w:val="646"/>
        </w:trPr>
        <w:tc>
          <w:tcPr>
            <w:tcW w:type="dxa" w:w="9864"/>
            <w:gridSpan w:val="2"/>
            <w:tcBorders/>
            <w:shd w:fill="1e5182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V) GARANTIES</w:t>
            </w:r>
          </w:p>
        </w:tc>
      </w:tr>
      <w:tr>
        <w:trPr>
          <w:trHeight w:hRule="exact" w:val="1006"/>
        </w:trPr>
        <w:tc>
          <w:tcPr>
            <w:tcW w:type="dxa" w:w="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420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50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50" w:after="0"/>
              <w:ind w:left="102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Dépôt de garantie et autres garanties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Montant du dépôt de garantie de l’exécution des obligations du locataire / Garantie autonome</w:t>
            </w:r>
          </w:p>
        </w:tc>
      </w:tr>
    </w:tbl>
    <w:p>
      <w:pPr>
        <w:autoSpaceDN w:val="0"/>
        <w:autoSpaceDE w:val="0"/>
        <w:widowControl/>
        <w:spacing w:line="278" w:lineRule="exact" w:before="24" w:after="0"/>
        <w:ind w:left="49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(inférieur ou égal à un mois de loyer hors charges).</w:t>
      </w:r>
    </w:p>
    <w:p>
      <w:pPr>
        <w:autoSpaceDN w:val="0"/>
        <w:autoSpaceDE w:val="0"/>
        <w:widowControl/>
        <w:spacing w:line="278" w:lineRule="exact" w:before="1832" w:after="0"/>
        <w:ind w:left="0" w:right="3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8</w:t>
      </w:r>
    </w:p>
    <w:p>
      <w:pPr>
        <w:sectPr>
          <w:pgSz w:w="11906" w:h="16838"/>
          <w:pgMar w:top="412" w:right="990" w:bottom="446" w:left="99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3060700</wp:posOffset>
            </wp:positionV>
            <wp:extent cx="6299200" cy="7620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62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6667500</wp:posOffset>
            </wp:positionV>
            <wp:extent cx="6299200" cy="7620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6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.999999999999943" w:type="dxa"/>
      </w:tblPr>
      <w:tblGrid>
        <w:gridCol w:w="9926"/>
      </w:tblGrid>
      <w:tr>
        <w:trPr>
          <w:trHeight w:hRule="exact" w:val="840"/>
        </w:trPr>
        <w:tc>
          <w:tcPr>
            <w:tcW w:type="dxa" w:w="9874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9874"/>
            </w:tblGrid>
            <w:tr>
              <w:trPr>
                <w:trHeight w:hRule="exact" w:val="342"/>
              </w:trPr>
              <w:tc>
                <w:tcPr>
                  <w:tcW w:type="dxa" w:w="3752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V.1) A. DÉPÔT DE GARANTIE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92"/>
        </w:trPr>
        <w:tc>
          <w:tcPr>
            <w:tcW w:type="dxa" w:w="9874"/>
            <w:tcBorders>
              <w:bottom w:sz="8.0" w:val="single" w:color="#418BC9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26"/>
      </w:tblGrid>
      <w:tr>
        <w:trPr>
          <w:trHeight w:hRule="exact" w:val="522"/>
        </w:trPr>
        <w:tc>
          <w:tcPr>
            <w:tcW w:type="dxa" w:w="9864"/>
            <w:tcBorders/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90" w:after="0"/>
              <w:ind w:left="54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428BCA"/>
                <w:sz w:val="21"/>
              </w:rPr>
              <w:t>AUCUN DÉPÔT DE GARANTIE EXIGÉ</w:t>
            </w:r>
          </w:p>
        </w:tc>
      </w:tr>
    </w:tbl>
    <w:p>
      <w:pPr>
        <w:autoSpaceDN w:val="0"/>
        <w:autoSpaceDE w:val="0"/>
        <w:widowControl/>
        <w:spacing w:line="2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21.9999999999999" w:type="dxa"/>
      </w:tblPr>
      <w:tblGrid>
        <w:gridCol w:w="9926"/>
      </w:tblGrid>
      <w:tr>
        <w:trPr>
          <w:trHeight w:hRule="exact" w:val="334"/>
        </w:trPr>
        <w:tc>
          <w:tcPr>
            <w:tcW w:type="dxa" w:w="8148"/>
            <w:tcBorders>
              <w:start w:sz="31.999999999999943" w:val="single" w:color="#418BC9"/>
            </w:tcBorders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2" w:after="0"/>
              <w:ind w:left="21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bailleur n’exige pas de dépôt de garantie pour ce contrat de bail.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466"/>
        </w:trPr>
        <w:tc>
          <w:tcPr>
            <w:tcW w:type="dxa" w:w="9666"/>
            <w:tcBorders>
              <w:bottom w:sz="8.0" w:val="single" w:color="#418BC9"/>
            </w:tcBorders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34" w:after="0"/>
              <w:ind w:left="442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Cette situation peut faciliter l’accès au logement pour le locataire.</w:t>
            </w:r>
          </w:p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4963"/>
        <w:gridCol w:w="4963"/>
      </w:tblGrid>
      <w:tr>
        <w:trPr>
          <w:trHeight w:hRule="exact" w:val="646"/>
        </w:trPr>
        <w:tc>
          <w:tcPr>
            <w:tcW w:type="dxa" w:w="9864"/>
            <w:gridSpan w:val="2"/>
            <w:tcBorders/>
            <w:shd w:fill="1e5182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VI) CLAUSE DE SOLIDARITÉ</w:t>
            </w:r>
          </w:p>
        </w:tc>
      </w:tr>
      <w:tr>
        <w:trPr>
          <w:trHeight w:hRule="exact" w:val="1006"/>
        </w:trPr>
        <w:tc>
          <w:tcPr>
            <w:tcW w:type="dxa" w:w="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420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50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50" w:after="0"/>
              <w:ind w:left="102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Clause de solidarité entre colocataires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Cette clause détermine les modalités de solidarité entre les colocataires pour le paiement du loyer</w:t>
            </w:r>
          </w:p>
        </w:tc>
      </w:tr>
    </w:tbl>
    <w:p>
      <w:pPr>
        <w:autoSpaceDN w:val="0"/>
        <w:autoSpaceDE w:val="0"/>
        <w:widowControl/>
        <w:spacing w:line="280" w:lineRule="exact" w:before="24" w:after="508"/>
        <w:ind w:left="49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et des charges.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526"/>
        </w:trPr>
        <w:tc>
          <w:tcPr>
            <w:tcW w:type="dxa" w:w="9666"/>
            <w:tcBorders>
              <w:top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82" w:after="0"/>
              <w:ind w:left="44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555D64"/>
                <w:sz w:val="21"/>
              </w:rPr>
              <w:t>CLAUSE DE SOLIDARITÉ STANDARD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26"/>
      </w:tblGrid>
      <w:tr>
        <w:trPr>
          <w:trHeight w:hRule="exact" w:val="366"/>
        </w:trPr>
        <w:tc>
          <w:tcPr>
            <w:tcW w:type="dxa" w:w="950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48" w:after="0"/>
              <w:ind w:left="30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Les colocataires sont tenus solidairement au paiement du loyer et des charges ainsi qu’à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26"/>
      </w:tblGrid>
      <w:tr>
        <w:trPr>
          <w:trHeight w:hRule="exact" w:val="342"/>
        </w:trPr>
        <w:tc>
          <w:tcPr>
            <w:tcW w:type="dxa" w:w="950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0" w:lineRule="exact" w:before="26" w:after="0"/>
              <w:ind w:left="30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l’exécution de toutes les obligations résultant du bail. Cette solidarité se poursuit pendant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26"/>
      </w:tblGrid>
      <w:tr>
        <w:trPr>
          <w:trHeight w:hRule="exact" w:val="344"/>
        </w:trPr>
        <w:tc>
          <w:tcPr>
            <w:tcW w:type="dxa" w:w="950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26" w:after="0"/>
              <w:ind w:left="30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toute la durée effective de préavis (trois mois, ou un mois dans les cas dérogatoires) après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26"/>
      </w:tblGrid>
      <w:tr>
        <w:trPr>
          <w:trHeight w:hRule="exact" w:val="342"/>
        </w:trPr>
        <w:tc>
          <w:tcPr>
            <w:tcW w:type="dxa" w:w="950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24" w:after="0"/>
              <w:ind w:left="30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que l’un des colocataires a donné congé dans les conditions prévues à l’article 1er-1 de la loi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26"/>
      </w:tblGrid>
      <w:tr>
        <w:trPr>
          <w:trHeight w:hRule="exact" w:val="374"/>
        </w:trPr>
        <w:tc>
          <w:tcPr>
            <w:tcW w:type="dxa" w:w="580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0" w:lineRule="exact" w:before="26" w:after="0"/>
              <w:ind w:left="30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du 6 juillet 1989.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488"/>
        </w:trPr>
        <w:tc>
          <w:tcPr>
            <w:tcW w:type="dxa" w:w="9666"/>
            <w:tcBorders>
              <w:bottom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56" w:after="0"/>
              <w:ind w:left="442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Clause standard conforme à l’article 8-1 de la loi du 6 juillet 1989</w:t>
            </w:r>
          </w:p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4963"/>
        <w:gridCol w:w="4963"/>
      </w:tblGrid>
      <w:tr>
        <w:trPr>
          <w:trHeight w:hRule="exact" w:val="646"/>
        </w:trPr>
        <w:tc>
          <w:tcPr>
            <w:tcW w:type="dxa" w:w="9864"/>
            <w:gridSpan w:val="2"/>
            <w:tcBorders/>
            <w:shd w:fill="1e5182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VII) CLAUSE RÉSOLUTOIRE</w:t>
            </w:r>
          </w:p>
        </w:tc>
      </w:tr>
      <w:tr>
        <w:trPr>
          <w:trHeight w:hRule="exact" w:val="1006"/>
        </w:trPr>
        <w:tc>
          <w:tcPr>
            <w:tcW w:type="dxa" w:w="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420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30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50" w:after="0"/>
              <w:ind w:left="98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Clause résolutoire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Conditions dans lesquelles le bail peut être résilié de plein droit par le bailleur en cas de</w:t>
            </w:r>
          </w:p>
        </w:tc>
      </w:tr>
    </w:tbl>
    <w:p>
      <w:pPr>
        <w:autoSpaceDN w:val="0"/>
        <w:autoSpaceDE w:val="0"/>
        <w:widowControl/>
        <w:spacing w:line="278" w:lineRule="exact" w:before="24" w:after="0"/>
        <w:ind w:left="688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manquement du locataire.</w:t>
      </w:r>
    </w:p>
    <w:p>
      <w:pPr>
        <w:autoSpaceDN w:val="0"/>
        <w:autoSpaceDE w:val="0"/>
        <w:widowControl/>
        <w:spacing w:line="278" w:lineRule="exact" w:before="4126" w:after="0"/>
        <w:ind w:left="0" w:right="3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9</w:t>
      </w:r>
    </w:p>
    <w:p>
      <w:pPr>
        <w:sectPr>
          <w:pgSz w:w="11906" w:h="16838"/>
          <w:pgMar w:top="412" w:right="990" w:bottom="446" w:left="99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4597400</wp:posOffset>
            </wp:positionV>
            <wp:extent cx="6299200" cy="7620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6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.999999999999943" w:type="dxa"/>
      </w:tblPr>
      <w:tblGrid>
        <w:gridCol w:w="9926"/>
      </w:tblGrid>
      <w:tr>
        <w:trPr>
          <w:trHeight w:hRule="exact" w:val="1002"/>
        </w:trPr>
        <w:tc>
          <w:tcPr>
            <w:tcW w:type="dxa" w:w="9874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662" w:after="0"/>
              <w:ind w:left="546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555D64"/>
                <w:sz w:val="21"/>
              </w:rPr>
              <w:t>CLAUSE RÉSOLUTOIRE STANDARD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26"/>
      </w:tblGrid>
      <w:tr>
        <w:trPr>
          <w:trHeight w:hRule="exact" w:val="366"/>
        </w:trPr>
        <w:tc>
          <w:tcPr>
            <w:tcW w:type="dxa" w:w="9864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48" w:after="0"/>
              <w:ind w:left="54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À défaut de paiement du loyer ou des charges aux termes convenus, ou d’exécution des</w:t>
            </w:r>
          </w:p>
        </w:tc>
      </w:tr>
    </w:tbl>
    <w:p>
      <w:pPr>
        <w:autoSpaceDN w:val="0"/>
        <w:autoSpaceDE w:val="0"/>
        <w:widowControl/>
        <w:spacing w:line="292" w:lineRule="exact" w:before="26" w:after="0"/>
        <w:ind w:left="57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2"/>
        </w:rPr>
        <w:t>conditions du présent bail, et un mois après un commandement de payer ou de faire demeuré</w:t>
      </w:r>
    </w:p>
    <w:p>
      <w:pPr>
        <w:autoSpaceDN w:val="0"/>
        <w:autoSpaceDE w:val="0"/>
        <w:widowControl/>
        <w:spacing w:line="292" w:lineRule="exact" w:before="50" w:after="26"/>
        <w:ind w:left="57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2"/>
        </w:rPr>
        <w:t>infructueux, le présent bail sera résilié de plein droit si bon semble au bailleur, sans préjudice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26"/>
      </w:tblGrid>
      <w:tr>
        <w:trPr>
          <w:trHeight w:hRule="exact" w:val="376"/>
        </w:trPr>
        <w:tc>
          <w:tcPr>
            <w:tcW w:type="dxa" w:w="648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0" w:lineRule="exact" w:before="26" w:after="0"/>
              <w:ind w:left="30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de tous dommages et intérêts.</w:t>
            </w:r>
          </w:p>
        </w:tc>
      </w:tr>
    </w:tbl>
    <w:p>
      <w:pPr>
        <w:autoSpaceDN w:val="0"/>
        <w:autoSpaceDE w:val="0"/>
        <w:widowControl/>
        <w:spacing w:line="8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21.9999999999999" w:type="dxa"/>
      </w:tblPr>
      <w:tblGrid>
        <w:gridCol w:w="9926"/>
      </w:tblGrid>
      <w:tr>
        <w:trPr>
          <w:trHeight w:hRule="exact" w:val="336"/>
        </w:trPr>
        <w:tc>
          <w:tcPr>
            <w:tcW w:type="dxa" w:w="5908"/>
            <w:tcBorders>
              <w:start w:sz="31.999999999999943" w:val="single" w:color="#545D63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8" w:after="0"/>
              <w:ind w:left="210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1F5183"/>
                <w:sz w:val="21"/>
              </w:rPr>
              <w:t>Motifs de résiliation :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26"/>
      </w:tblGrid>
      <w:tr>
        <w:trPr>
          <w:trHeight w:hRule="exact" w:val="1462"/>
        </w:trPr>
        <w:tc>
          <w:tcPr>
            <w:tcW w:type="dxa" w:w="718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34" w:after="0"/>
              <w:ind w:left="302" w:right="2448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Défaut de paiement du loyer ou des charges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Non-respect des conditions du bail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Troubles de voisinage caractérisés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Défaut d’assurance du locataire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Non-respect de l’obligation d’entretien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486"/>
        </w:trPr>
        <w:tc>
          <w:tcPr>
            <w:tcW w:type="dxa" w:w="9666"/>
            <w:tcBorders>
              <w:bottom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54" w:after="0"/>
              <w:ind w:left="442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Clause standard conforme aux articles 7 et 24 de la loi du 6 juillet 1989</w:t>
            </w:r>
          </w:p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4963"/>
        <w:gridCol w:w="4963"/>
      </w:tblGrid>
      <w:tr>
        <w:trPr>
          <w:trHeight w:hRule="exact" w:val="646"/>
        </w:trPr>
        <w:tc>
          <w:tcPr>
            <w:tcW w:type="dxa" w:w="9864"/>
            <w:gridSpan w:val="2"/>
            <w:tcBorders/>
            <w:shd w:fill="1e5182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4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VIII) LE CAS ÉCHÉANT, HONORAIRES DE LOCATION</w:t>
            </w:r>
          </w:p>
        </w:tc>
      </w:tr>
      <w:tr>
        <w:trPr>
          <w:trHeight w:hRule="exact" w:val="1008"/>
        </w:trPr>
        <w:tc>
          <w:tcPr>
            <w:tcW w:type="dxa" w:w="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420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30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50" w:after="0"/>
              <w:ind w:left="98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Honoraires de location et modalités de facturation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Les honoraires de location sont facturés selon les dispositions légales en vigueur. Cette section</w:t>
            </w:r>
          </w:p>
        </w:tc>
      </w:tr>
    </w:tbl>
    <w:p>
      <w:pPr>
        <w:autoSpaceDN w:val="0"/>
        <w:autoSpaceDE w:val="0"/>
        <w:widowControl/>
        <w:spacing w:line="278" w:lineRule="exact" w:before="24" w:after="682"/>
        <w:ind w:left="688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détaille la répartition des honoraires entre bailleur et locataire conformément à la réglementation.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26"/>
      </w:tblGrid>
      <w:tr>
        <w:trPr>
          <w:trHeight w:hRule="exact" w:val="362"/>
        </w:trPr>
        <w:tc>
          <w:tcPr>
            <w:tcW w:type="dxa" w:w="9766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6"/>
            </w:tblGrid>
            <w:tr>
              <w:trPr>
                <w:trHeight w:hRule="exact" w:val="342"/>
              </w:trPr>
              <w:tc>
                <w:tcPr>
                  <w:tcW w:type="dxa" w:w="480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VIII.1) A. DISPOSITIONS APPLICABLES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92"/>
        </w:trPr>
        <w:tc>
          <w:tcPr>
            <w:tcW w:type="dxa" w:w="9766"/>
            <w:tcBorders>
              <w:bottom w:sz="8.0" w:val="single" w:color="#C78C27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26"/>
      </w:tblGrid>
      <w:tr>
        <w:trPr>
          <w:trHeight w:hRule="exact" w:val="536"/>
        </w:trPr>
        <w:tc>
          <w:tcPr>
            <w:tcW w:type="dxa" w:w="9864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90" w:after="0"/>
              <w:ind w:left="54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>CADRE LÉGAL - ARTICLE 5 DE LA LOI DU 6 JUILLET 1989</w:t>
            </w:r>
          </w:p>
        </w:tc>
      </w:tr>
    </w:tbl>
    <w:p>
      <w:pPr>
        <w:autoSpaceDN w:val="0"/>
        <w:autoSpaceDE w:val="0"/>
        <w:widowControl/>
        <w:spacing w:line="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26"/>
      </w:tblGrid>
      <w:tr>
        <w:trPr>
          <w:trHeight w:hRule="exact" w:val="352"/>
        </w:trPr>
        <w:tc>
          <w:tcPr>
            <w:tcW w:type="dxa" w:w="950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60" w:after="0"/>
              <w:ind w:left="30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0"/>
              </w:rPr>
              <w:t>Principe général :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0"/>
              </w:rPr>
              <w:t xml:space="preserve"> La rémunération des personnes mandatées pour l’entremise ou la négociation d’une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26"/>
      </w:tblGrid>
      <w:tr>
        <w:trPr>
          <w:trHeight w:hRule="exact" w:val="332"/>
        </w:trPr>
        <w:tc>
          <w:tcPr>
            <w:tcW w:type="dxa" w:w="824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exact" w:before="20" w:after="0"/>
              <w:ind w:left="30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0"/>
              </w:rPr>
              <w:t>location est à la charge exclusive du bailleur, sauf exceptions spécifiques.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26"/>
      </w:tblGrid>
      <w:tr>
        <w:trPr>
          <w:trHeight w:hRule="exact" w:val="890"/>
        </w:trPr>
        <w:tc>
          <w:tcPr>
            <w:tcW w:type="dxa" w:w="878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exact" w:before="60" w:after="0"/>
              <w:ind w:left="302" w:right="72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0"/>
              </w:rPr>
              <w:t>Exceptions autorisées :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0"/>
              </w:rPr>
              <w:t xml:space="preserve">• 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0"/>
              </w:rPr>
              <w:t>Visite, dossier et rédaction de bail :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0"/>
              </w:rPr>
              <w:t xml:space="preserve"> Honoraires partagés entre bailleur et preneur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0"/>
              </w:rPr>
              <w:t xml:space="preserve">• 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0"/>
              </w:rPr>
              <w:t>État des lieux :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0"/>
              </w:rPr>
              <w:t xml:space="preserve"> Honoraires partagés entre bailleur et preneur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26"/>
      </w:tblGrid>
      <w:tr>
        <w:trPr>
          <w:trHeight w:hRule="exact" w:val="336"/>
        </w:trPr>
        <w:tc>
          <w:tcPr>
            <w:tcW w:type="dxa" w:w="950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44" w:after="0"/>
              <w:ind w:left="30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0"/>
              </w:rPr>
              <w:t>Plafonds :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0"/>
              </w:rPr>
              <w:t xml:space="preserve"> Les montants imputés au locataire sont limités par des plafonds réglementaires au m² de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472"/>
        </w:trPr>
        <w:tc>
          <w:tcPr>
            <w:tcW w:type="dxa" w:w="9666"/>
            <w:tcBorders>
              <w:bottom w:sz="8.0" w:val="single" w:color="#C78C27"/>
            </w:tcBorders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exact" w:before="20" w:after="0"/>
              <w:ind w:left="44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0"/>
              </w:rPr>
              <w:t>surface habitable, révisés annuellement.</w:t>
            </w:r>
          </w:p>
        </w:tc>
      </w:tr>
    </w:tbl>
    <w:p>
      <w:pPr>
        <w:autoSpaceDN w:val="0"/>
        <w:autoSpaceDE w:val="0"/>
        <w:widowControl/>
        <w:spacing w:line="278" w:lineRule="exact" w:before="3192" w:after="0"/>
        <w:ind w:left="0" w:right="3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10</w:t>
      </w:r>
    </w:p>
    <w:p>
      <w:pPr>
        <w:sectPr>
          <w:pgSz w:w="11906" w:h="16838"/>
          <w:pgMar w:top="412" w:right="990" w:bottom="446" w:left="99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6464300</wp:posOffset>
            </wp:positionV>
            <wp:extent cx="6299200" cy="7620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6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9966"/>
      </w:tblGrid>
      <w:tr>
        <w:trPr>
          <w:trHeight w:hRule="exact" w:val="840"/>
        </w:trPr>
        <w:tc>
          <w:tcPr>
            <w:tcW w:type="dxa" w:w="9874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9874"/>
            </w:tblGrid>
            <w:tr>
              <w:trPr>
                <w:trHeight w:hRule="exact" w:val="342"/>
              </w:trPr>
              <w:tc>
                <w:tcPr>
                  <w:tcW w:type="dxa" w:w="6632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VIII.2) B. PLAFONDS RÉGLEMENTAIRES APPLICABLES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1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3322"/>
        <w:gridCol w:w="3322"/>
        <w:gridCol w:w="3322"/>
      </w:tblGrid>
      <w:tr>
        <w:trPr>
          <w:trHeight w:hRule="exact" w:val="632"/>
        </w:trPr>
        <w:tc>
          <w:tcPr>
            <w:tcW w:type="dxa" w:w="6680"/>
            <w:gridSpan w:val="2"/>
            <w:tcBorders>
              <w:start w:sz="24.0" w:val="single" w:color="#418BC9"/>
              <w:bottom w:sz="16.0" w:val="single" w:color="#418BC9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6680"/>
            </w:tblGrid>
            <w:tr>
              <w:trPr>
                <w:trHeight w:hRule="exact" w:val="338"/>
              </w:trPr>
              <w:tc>
                <w:tcPr>
                  <w:tcW w:type="dxa" w:w="5294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6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Plafonds des honoraires imputables aux locataires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226"/>
            <w:tcBorders>
              <w:bottom w:sz="16.0" w:val="single" w:color="#418BC9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82"/>
        </w:trPr>
        <w:tc>
          <w:tcPr>
            <w:tcW w:type="dxa" w:w="4140"/>
            <w:tcBorders>
              <w:start w:sz="24.0" w:val="single" w:color="#418BC9"/>
              <w:top w:sz="16.0" w:val="single" w:color="#418BC9"/>
              <w:bottom w:sz="4.0" w:val="single" w:color="#A9AEB1"/>
            </w:tcBorders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6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Type de prestation</w:t>
            </w:r>
          </w:p>
        </w:tc>
        <w:tc>
          <w:tcPr>
            <w:tcW w:type="dxa" w:w="2540"/>
            <w:tcBorders>
              <w:top w:sz="16.0" w:val="single" w:color="#418BC9"/>
              <w:bottom w:sz="4.0" w:val="single" w:color="#A9AEB1"/>
            </w:tcBorders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6" w:after="0"/>
              <w:ind w:left="0" w:right="646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Plafond/m²</w:t>
            </w:r>
          </w:p>
        </w:tc>
        <w:tc>
          <w:tcPr>
            <w:tcW w:type="dxa" w:w="3226"/>
            <w:tcBorders>
              <w:top w:sz="16.0" w:val="single" w:color="#418BC9"/>
              <w:bottom w:sz="4.0" w:val="single" w:color="#A9AEB1"/>
            </w:tcBorders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6" w:after="0"/>
              <w:ind w:left="62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Montant max. logement</w:t>
            </w:r>
          </w:p>
        </w:tc>
      </w:tr>
      <w:tr>
        <w:trPr>
          <w:trHeight w:hRule="exact" w:val="792"/>
        </w:trPr>
        <w:tc>
          <w:tcPr>
            <w:tcW w:type="dxa" w:w="414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84" w:after="0"/>
              <w:ind w:left="138" w:right="72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Visite, dossier et rédaction de bail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Honoraires dus à la signature du bail</w:t>
            </w:r>
          </w:p>
        </w:tc>
        <w:tc>
          <w:tcPr>
            <w:tcW w:type="dxa" w:w="2540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56" w:after="0"/>
              <w:ind w:left="0" w:right="608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spécifié</w:t>
            </w:r>
          </w:p>
        </w:tc>
        <w:tc>
          <w:tcPr>
            <w:tcW w:type="dxa" w:w="322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56" w:after="0"/>
              <w:ind w:left="0" w:right="208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À calculer</w:t>
            </w:r>
          </w:p>
        </w:tc>
      </w:tr>
      <w:tr>
        <w:trPr>
          <w:trHeight w:hRule="exact" w:val="742"/>
        </w:trPr>
        <w:tc>
          <w:tcPr>
            <w:tcW w:type="dxa" w:w="4140"/>
            <w:tcBorders>
              <w:start w:sz="24.0" w:val="single" w:color="#418BC9"/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84" w:after="0"/>
              <w:ind w:left="138" w:right="144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État des lieux d’entrée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Honoraires dus à la réalisation</w:t>
            </w:r>
          </w:p>
        </w:tc>
        <w:tc>
          <w:tcPr>
            <w:tcW w:type="dxa" w:w="2540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54" w:after="0"/>
              <w:ind w:left="0" w:right="608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spécifié</w:t>
            </w:r>
          </w:p>
        </w:tc>
        <w:tc>
          <w:tcPr>
            <w:tcW w:type="dxa" w:w="3226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54" w:after="0"/>
              <w:ind w:left="0" w:right="208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À calculer</w:t>
            </w:r>
          </w:p>
        </w:tc>
      </w:tr>
    </w:tbl>
    <w:p>
      <w:pPr>
        <w:autoSpaceDN w:val="0"/>
        <w:autoSpaceDE w:val="0"/>
        <w:widowControl/>
        <w:spacing w:line="33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0"/>
        </w:trPr>
        <w:tc>
          <w:tcPr>
            <w:tcW w:type="dxa" w:w="6512"/>
            <w:tcBorders>
              <w:start w:sz="24.0" w:val="single" w:color="#1E5182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24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VIII.3) C. DÉTAIL ET RÉPARTITION DES HONORAIRES</w:t>
            </w:r>
          </w:p>
        </w:tc>
      </w:tr>
    </w:tbl>
    <w:p>
      <w:pPr>
        <w:autoSpaceDN w:val="0"/>
        <w:autoSpaceDE w:val="0"/>
        <w:widowControl/>
        <w:spacing w:line="286" w:lineRule="exact" w:before="242" w:after="82"/>
        <w:ind w:left="40" w:right="0" w:firstLine="0"/>
        <w:jc w:val="left"/>
      </w:pPr>
      <w:r>
        <w:rPr>
          <w:rFonts w:ascii="Avenir Black" w:hAnsi="Avenir Black" w:eastAsia="Avenir Black"/>
          <w:b/>
          <w:i w:val="0"/>
          <w:color w:val="000000"/>
          <w:sz w:val="21"/>
        </w:rPr>
        <w:t>VIII.3.a)</w:t>
      </w:r>
      <w:r>
        <w:rPr>
          <w:rFonts w:ascii="Avenir Black" w:hAnsi="Avenir Black" w:eastAsia="Avenir Black"/>
          <w:b/>
          <w:i w:val="0"/>
          <w:color w:val="000000"/>
          <w:sz w:val="21"/>
        </w:rPr>
        <w:t>1. Honoraires à la charge du bailleur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3322"/>
        <w:gridCol w:w="3322"/>
        <w:gridCol w:w="3322"/>
      </w:tblGrid>
      <w:tr>
        <w:trPr>
          <w:trHeight w:hRule="exact" w:val="632"/>
        </w:trPr>
        <w:tc>
          <w:tcPr>
            <w:tcW w:type="dxa" w:w="5820"/>
            <w:gridSpan w:val="2"/>
            <w:tcBorders>
              <w:start w:sz="24.0" w:val="single" w:color="#418BC9"/>
              <w:bottom w:sz="16.0" w:val="single" w:color="#278227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5820"/>
            </w:tblGrid>
            <w:tr>
              <w:trPr>
                <w:trHeight w:hRule="exact" w:val="338"/>
              </w:trPr>
              <w:tc>
                <w:tcPr>
                  <w:tcW w:type="dxa" w:w="492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6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Honoraires à la charge du propriétaire bailleur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4056"/>
            <w:tcBorders>
              <w:bottom w:sz="16.0" w:val="single" w:color="#278227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82"/>
        </w:trPr>
        <w:tc>
          <w:tcPr>
            <w:tcW w:type="dxa" w:w="3840"/>
            <w:tcBorders>
              <w:start w:sz="24.0" w:val="single" w:color="#418BC9"/>
              <w:top w:sz="16.0" w:val="single" w:color="#278227"/>
              <w:bottom w:sz="4.0" w:val="single" w:color="#A9AEB1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6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Type de prestation</w:t>
            </w:r>
          </w:p>
        </w:tc>
        <w:tc>
          <w:tcPr>
            <w:tcW w:type="dxa" w:w="1980"/>
            <w:tcBorders>
              <w:top w:sz="16.0" w:val="single" w:color="#278227"/>
              <w:bottom w:sz="4.0" w:val="single" w:color="#A9AEB1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6" w:after="0"/>
              <w:ind w:left="444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Montant TTC</w:t>
            </w:r>
          </w:p>
        </w:tc>
        <w:tc>
          <w:tcPr>
            <w:tcW w:type="dxa" w:w="4056"/>
            <w:tcBorders>
              <w:top w:sz="16.0" w:val="single" w:color="#278227"/>
              <w:bottom w:sz="4.0" w:val="single" w:color="#A9AEB1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6" w:after="0"/>
              <w:ind w:left="26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Description</w:t>
            </w:r>
          </w:p>
        </w:tc>
      </w:tr>
      <w:tr>
        <w:trPr>
          <w:trHeight w:hRule="exact" w:val="792"/>
        </w:trPr>
        <w:tc>
          <w:tcPr>
            <w:tcW w:type="dxa" w:w="384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84" w:after="0"/>
              <w:ind w:left="138" w:right="432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Visite, dossier et rédaction de bail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Dus à la signature du bail</w:t>
            </w:r>
          </w:p>
        </w:tc>
        <w:tc>
          <w:tcPr>
            <w:tcW w:type="dxa" w:w="1980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56" w:after="0"/>
              <w:ind w:left="0" w:right="328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facturé</w:t>
            </w:r>
          </w:p>
        </w:tc>
        <w:tc>
          <w:tcPr>
            <w:tcW w:type="dxa" w:w="405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74" w:after="0"/>
              <w:ind w:left="2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Prestations standards</w:t>
            </w:r>
          </w:p>
        </w:tc>
      </w:tr>
      <w:tr>
        <w:trPr>
          <w:trHeight w:hRule="exact" w:val="792"/>
        </w:trPr>
        <w:tc>
          <w:tcPr>
            <w:tcW w:type="dxa" w:w="384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86" w:after="0"/>
              <w:ind w:left="138" w:right="144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État des lieux d’entrée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Dus à la réalisation</w:t>
            </w:r>
          </w:p>
        </w:tc>
        <w:tc>
          <w:tcPr>
            <w:tcW w:type="dxa" w:w="1980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56" w:after="0"/>
              <w:ind w:left="0" w:right="328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facturé</w:t>
            </w:r>
          </w:p>
        </w:tc>
        <w:tc>
          <w:tcPr>
            <w:tcW w:type="dxa" w:w="4056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76" w:after="0"/>
              <w:ind w:left="2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État des lieux standard</w:t>
            </w:r>
          </w:p>
        </w:tc>
      </w:tr>
      <w:tr>
        <w:trPr>
          <w:trHeight w:hRule="exact" w:val="790"/>
        </w:trPr>
        <w:tc>
          <w:tcPr>
            <w:tcW w:type="dxa" w:w="3840"/>
            <w:tcBorders>
              <w:start w:sz="24.0" w:val="single" w:color="#418BC9"/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82" w:after="0"/>
              <w:ind w:left="138" w:right="1296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Autres prestations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Prestations complémentaires</w:t>
            </w:r>
          </w:p>
        </w:tc>
        <w:tc>
          <w:tcPr>
            <w:tcW w:type="dxa" w:w="198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52" w:after="0"/>
              <w:ind w:left="0" w:right="328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facturé</w:t>
            </w:r>
          </w:p>
        </w:tc>
        <w:tc>
          <w:tcPr>
            <w:tcW w:type="dxa" w:w="4056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72" w:after="0"/>
              <w:ind w:left="2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Aucune prestation supplémentaire</w:t>
            </w:r>
          </w:p>
        </w:tc>
      </w:tr>
    </w:tbl>
    <w:p>
      <w:pPr>
        <w:autoSpaceDN w:val="0"/>
        <w:autoSpaceDE w:val="0"/>
        <w:widowControl/>
        <w:spacing w:line="288" w:lineRule="exact" w:before="240" w:after="160"/>
        <w:ind w:left="40" w:right="0" w:firstLine="0"/>
        <w:jc w:val="left"/>
      </w:pPr>
      <w:r>
        <w:rPr>
          <w:rFonts w:ascii="Avenir Black" w:hAnsi="Avenir Black" w:eastAsia="Avenir Black"/>
          <w:b/>
          <w:i w:val="0"/>
          <w:color w:val="000000"/>
          <w:sz w:val="21"/>
        </w:rPr>
        <w:t>VIII.3.b)</w:t>
      </w:r>
      <w:r>
        <w:rPr>
          <w:rFonts w:ascii="Avenir Black" w:hAnsi="Avenir Black" w:eastAsia="Avenir Black"/>
          <w:b/>
          <w:i w:val="0"/>
          <w:color w:val="000000"/>
          <w:sz w:val="21"/>
        </w:rPr>
        <w:t>2. Honoraires à la charge du locataire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4983"/>
        <w:gridCol w:w="4983"/>
      </w:tblGrid>
      <w:tr>
        <w:trPr>
          <w:trHeight w:hRule="exact" w:val="646"/>
        </w:trPr>
        <w:tc>
          <w:tcPr>
            <w:tcW w:type="dxa" w:w="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60" w:after="0"/>
              <w:ind w:left="0" w:right="0" w:firstLine="0"/>
              <w:jc w:val="center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0" w:after="0"/>
              <w:ind w:left="9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Honoraires à la charge du locataire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Ces honoraires ne peuvent excéder ceux imputés au bailleur et doivent respecter les plafonds</w:t>
            </w:r>
          </w:p>
        </w:tc>
      </w:tr>
    </w:tbl>
    <w:p>
      <w:pPr>
        <w:autoSpaceDN w:val="0"/>
        <w:autoSpaceDE w:val="0"/>
        <w:widowControl/>
        <w:spacing w:line="280" w:lineRule="exact" w:before="24" w:after="414"/>
        <w:ind w:left="698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réglementaires.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2491"/>
        <w:gridCol w:w="2491"/>
        <w:gridCol w:w="2491"/>
        <w:gridCol w:w="2491"/>
      </w:tblGrid>
      <w:tr>
        <w:trPr>
          <w:trHeight w:hRule="exact" w:val="402"/>
        </w:trPr>
        <w:tc>
          <w:tcPr>
            <w:tcW w:type="dxa" w:w="2710"/>
            <w:vMerge w:val="restart"/>
            <w:tcBorders>
              <w:top w:sz="16.0" w:val="single" w:color="#C78C27"/>
              <w:bottom w:sz="4.0" w:val="single" w:color="#A9AEB1"/>
            </w:tcBorders>
            <w:shd w:fill="f9f3e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252" w:after="0"/>
              <w:ind w:left="17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Type de prestation</w:t>
            </w:r>
          </w:p>
        </w:tc>
        <w:tc>
          <w:tcPr>
            <w:tcW w:type="dxa" w:w="1760"/>
            <w:tcBorders>
              <w:top w:sz="16.0" w:val="single" w:color="#C78C27"/>
            </w:tcBorders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8" w:after="0"/>
              <w:ind w:left="0" w:right="24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Montant</w:t>
            </w:r>
          </w:p>
        </w:tc>
        <w:tc>
          <w:tcPr>
            <w:tcW w:type="dxa" w:w="2540"/>
            <w:vMerge w:val="restart"/>
            <w:tcBorders>
              <w:top w:sz="16.0" w:val="single" w:color="#C78C27"/>
              <w:bottom w:sz="4.0" w:val="single" w:color="#A9AEB1"/>
            </w:tcBorders>
            <w:shd w:fill="f9f3e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252" w:after="0"/>
              <w:ind w:left="26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Description</w:t>
            </w:r>
          </w:p>
        </w:tc>
        <w:tc>
          <w:tcPr>
            <w:tcW w:type="dxa" w:w="2876"/>
            <w:vMerge w:val="restart"/>
            <w:tcBorders>
              <w:top w:sz="16.0" w:val="single" w:color="#C78C27"/>
              <w:bottom w:sz="4.0" w:val="single" w:color="#A9AEB1"/>
            </w:tcBorders>
            <w:shd w:fill="f9f3e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252" w:after="0"/>
              <w:ind w:left="0" w:right="584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Conformité</w:t>
            </w:r>
          </w:p>
        </w:tc>
      </w:tr>
      <w:tr>
        <w:trPr>
          <w:trHeight w:hRule="exact" w:val="410"/>
        </w:trPr>
        <w:tc>
          <w:tcPr>
            <w:tcW w:type="dxa" w:w="2491"/>
            <w:vMerge/>
            <w:tcBorders>
              <w:top w:sz="16.0" w:val="single" w:color="#C78C27"/>
              <w:bottom w:sz="4.0" w:val="single" w:color="#A9AEB1"/>
            </w:tcBorders>
          </w:tcPr>
          <w:p/>
        </w:tc>
        <w:tc>
          <w:tcPr>
            <w:tcW w:type="dxa" w:w="1760"/>
            <w:tcBorders>
              <w:bottom w:sz="4.0" w:val="single" w:color="#A9AEB1"/>
            </w:tcBorders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32" w:after="0"/>
              <w:ind w:left="0" w:right="472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TTC</w:t>
            </w:r>
          </w:p>
        </w:tc>
        <w:tc>
          <w:tcPr>
            <w:tcW w:type="dxa" w:w="2491"/>
            <w:vMerge/>
            <w:tcBorders>
              <w:top w:sz="16.0" w:val="single" w:color="#C78C27"/>
              <w:bottom w:sz="4.0" w:val="single" w:color="#A9AEB1"/>
            </w:tcBorders>
          </w:tcPr>
          <w:p/>
        </w:tc>
        <w:tc>
          <w:tcPr>
            <w:tcW w:type="dxa" w:w="2491"/>
            <w:vMerge/>
            <w:tcBorders>
              <w:top w:sz="16.0" w:val="single" w:color="#C78C27"/>
              <w:bottom w:sz="4.0" w:val="single" w:color="#A9AEB1"/>
            </w:tcBorders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2491"/>
        <w:gridCol w:w="2491"/>
        <w:gridCol w:w="2491"/>
        <w:gridCol w:w="2491"/>
      </w:tblGrid>
      <w:tr>
        <w:trPr>
          <w:trHeight w:hRule="exact" w:val="410"/>
        </w:trPr>
        <w:tc>
          <w:tcPr>
            <w:tcW w:type="dxa" w:w="304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8" w:after="0"/>
              <w:ind w:left="0" w:right="0" w:firstLine="0"/>
              <w:jc w:val="center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Visite, dossier et rédaction</w:t>
            </w:r>
          </w:p>
        </w:tc>
        <w:tc>
          <w:tcPr>
            <w:tcW w:type="dxa" w:w="1480"/>
            <w:vMerge w:val="restart"/>
            <w:tcBorders/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424" w:after="0"/>
              <w:ind w:left="0" w:right="0" w:firstLine="0"/>
              <w:jc w:val="center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facturé</w:t>
            </w:r>
          </w:p>
        </w:tc>
        <w:tc>
          <w:tcPr>
            <w:tcW w:type="dxa" w:w="2880"/>
            <w:vMerge w:val="restart"/>
            <w:tcBorders/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444" w:after="0"/>
              <w:ind w:left="202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Prestations standards</w:t>
            </w:r>
          </w:p>
        </w:tc>
        <w:tc>
          <w:tcPr>
            <w:tcW w:type="dxa" w:w="2464"/>
            <w:vMerge w:val="restart"/>
            <w:tcBorders/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444" w:after="0"/>
              <w:ind w:left="0" w:right="770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À vérifier</w:t>
            </w:r>
          </w:p>
        </w:tc>
      </w:tr>
      <w:tr>
        <w:trPr>
          <w:trHeight w:hRule="exact" w:val="330"/>
        </w:trPr>
        <w:tc>
          <w:tcPr>
            <w:tcW w:type="dxa" w:w="304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4" w:after="0"/>
              <w:ind w:left="168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de bail</w:t>
            </w:r>
          </w:p>
        </w:tc>
        <w:tc>
          <w:tcPr>
            <w:tcW w:type="dxa" w:w="2491"/>
            <w:vMerge/>
            <w:tcBorders/>
          </w:tcPr>
          <w:p/>
        </w:tc>
        <w:tc>
          <w:tcPr>
            <w:tcW w:type="dxa" w:w="2491"/>
            <w:vMerge/>
            <w:tcBorders/>
          </w:tcPr>
          <w:p/>
        </w:tc>
        <w:tc>
          <w:tcPr>
            <w:tcW w:type="dxa" w:w="2491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2491"/>
        <w:gridCol w:w="2491"/>
        <w:gridCol w:w="2491"/>
        <w:gridCol w:w="2491"/>
      </w:tblGrid>
      <w:tr>
        <w:trPr>
          <w:trHeight w:hRule="exact" w:val="394"/>
        </w:trPr>
        <w:tc>
          <w:tcPr>
            <w:tcW w:type="dxa" w:w="2790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44" w:after="0"/>
              <w:ind w:left="178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Dus à la signature du bail</w:t>
            </w:r>
          </w:p>
        </w:tc>
        <w:tc>
          <w:tcPr>
            <w:tcW w:type="dxa" w:w="1740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/>
        </w:tc>
        <w:tc>
          <w:tcPr>
            <w:tcW w:type="dxa" w:w="2940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/>
        </w:tc>
        <w:tc>
          <w:tcPr>
            <w:tcW w:type="dxa" w:w="2416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10"/>
        </w:trPr>
        <w:tc>
          <w:tcPr>
            <w:tcW w:type="dxa" w:w="2790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0" w:after="0"/>
              <w:ind w:left="178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État des lieux d’entrée</w:t>
            </w:r>
          </w:p>
        </w:tc>
        <w:tc>
          <w:tcPr>
            <w:tcW w:type="dxa" w:w="1740"/>
            <w:vMerge w:val="restart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52" w:after="0"/>
              <w:ind w:left="0" w:right="166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facturé</w:t>
            </w:r>
          </w:p>
        </w:tc>
        <w:tc>
          <w:tcPr>
            <w:tcW w:type="dxa" w:w="2940"/>
            <w:vMerge w:val="restart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72" w:after="0"/>
              <w:ind w:left="202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État des lieux standard</w:t>
            </w:r>
          </w:p>
        </w:tc>
        <w:tc>
          <w:tcPr>
            <w:tcW w:type="dxa" w:w="2416"/>
            <w:vMerge w:val="restart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72" w:after="0"/>
              <w:ind w:left="0" w:right="782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À vérifier</w:t>
            </w:r>
          </w:p>
        </w:tc>
      </w:tr>
      <w:tr>
        <w:trPr>
          <w:trHeight w:hRule="exact" w:val="330"/>
        </w:trPr>
        <w:tc>
          <w:tcPr>
            <w:tcW w:type="dxa" w:w="279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32" w:after="0"/>
              <w:ind w:left="178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Dus à la réalisation</w:t>
            </w:r>
          </w:p>
        </w:tc>
        <w:tc>
          <w:tcPr>
            <w:tcW w:type="dxa" w:w="2491"/>
            <w:vMerge/>
            <w:tcBorders>
              <w:top w:sz="4.0" w:val="single" w:color="#A9AEB1"/>
            </w:tcBorders>
          </w:tcPr>
          <w:p/>
        </w:tc>
        <w:tc>
          <w:tcPr>
            <w:tcW w:type="dxa" w:w="2491"/>
            <w:vMerge/>
            <w:tcBorders>
              <w:top w:sz="4.0" w:val="single" w:color="#A9AEB1"/>
            </w:tcBorders>
          </w:tcPr>
          <w:p/>
        </w:tc>
        <w:tc>
          <w:tcPr>
            <w:tcW w:type="dxa" w:w="2491"/>
            <w:vMerge/>
            <w:tcBorders>
              <w:top w:sz="4.0" w:val="single" w:color="#A9AEB1"/>
            </w:tcBorders>
          </w:tcPr>
          <w:p/>
        </w:tc>
      </w:tr>
    </w:tbl>
    <w:p>
      <w:pPr>
        <w:autoSpaceDN w:val="0"/>
        <w:autoSpaceDE w:val="0"/>
        <w:widowControl/>
        <w:spacing w:line="278" w:lineRule="exact" w:before="1336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11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1346200</wp:posOffset>
            </wp:positionV>
            <wp:extent cx="6299200" cy="7747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74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4318000</wp:posOffset>
            </wp:positionV>
            <wp:extent cx="6299200" cy="7620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62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7543800</wp:posOffset>
            </wp:positionV>
            <wp:extent cx="6299200" cy="4699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69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.999999999999943" w:type="dxa"/>
      </w:tblPr>
      <w:tblGrid>
        <w:gridCol w:w="4963"/>
        <w:gridCol w:w="4963"/>
      </w:tblGrid>
      <w:tr>
        <w:trPr>
          <w:trHeight w:hRule="exact" w:val="840"/>
        </w:trPr>
        <w:tc>
          <w:tcPr>
            <w:tcW w:type="dxa" w:w="9874"/>
            <w:gridSpan w:val="2"/>
            <w:tcBorders>
              <w:top w:sz="4.0" w:val="single" w:color="#708095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9874"/>
            </w:tblGrid>
            <w:tr>
              <w:trPr>
                <w:trHeight w:hRule="exact" w:val="342"/>
              </w:trPr>
              <w:tc>
                <w:tcPr>
                  <w:tcW w:type="dxa" w:w="5814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VIII.4) D. INFORMATIONS COMPLÉMENTAIRES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16"/>
        </w:trPr>
        <w:tc>
          <w:tcPr>
            <w:tcW w:type="dxa" w:w="3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8" w:lineRule="exact" w:before="332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5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0" w:after="0"/>
              <w:ind w:left="102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Contrat conclu sans intermédiaire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Ce contrat de location est conclu directement entre le bailleur et le locataire, sans intervention</w:t>
            </w:r>
          </w:p>
        </w:tc>
      </w:tr>
    </w:tbl>
    <w:p>
      <w:pPr>
        <w:autoSpaceDN w:val="0"/>
        <w:autoSpaceDE w:val="0"/>
        <w:widowControl/>
        <w:spacing w:line="278" w:lineRule="exact" w:before="20" w:after="510"/>
        <w:ind w:left="49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d’une agence immobilière mandatée.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486"/>
        </w:trPr>
        <w:tc>
          <w:tcPr>
            <w:tcW w:type="dxa" w:w="9666"/>
            <w:tcBorders>
              <w:top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38" w:after="0"/>
              <w:ind w:left="11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1"/>
              </w:rPr>
              <w:t>Note légale importante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0.0" w:type="dxa"/>
      </w:tblPr>
      <w:tblGrid>
        <w:gridCol w:w="9926"/>
      </w:tblGrid>
      <w:tr>
        <w:trPr>
          <w:trHeight w:hRule="exact" w:val="312"/>
        </w:trPr>
        <w:tc>
          <w:tcPr>
            <w:tcW w:type="dxa" w:w="968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50" w:after="0"/>
              <w:ind w:left="0" w:right="0" w:firstLine="0"/>
              <w:jc w:val="center"/>
            </w:pPr>
            <w:r>
              <w:rPr>
                <w:w w:val="98.18181991577148"/>
                <w:rFonts w:ascii="Avenir" w:hAnsi="Avenir" w:eastAsia="Avenir"/>
                <w:b w:val="0"/>
                <w:i w:val="0"/>
                <w:color w:val="000000"/>
                <w:sz w:val="11"/>
              </w:rPr>
              <w:t>14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 xml:space="preserve"> Cette section n’est applicable que lorsque le contrat de location est conclu avec le concours d’une personne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0.0" w:type="dxa"/>
      </w:tblPr>
      <w:tblGrid>
        <w:gridCol w:w="9926"/>
      </w:tblGrid>
      <w:tr>
        <w:trPr>
          <w:trHeight w:hRule="exact" w:val="284"/>
        </w:trPr>
        <w:tc>
          <w:tcPr>
            <w:tcW w:type="dxa" w:w="924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0" w:after="0"/>
              <w:ind w:left="13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mandatée et rémunérée à cette fin, conformément aux dispositions de l’article 5 de la loi du 6 juillet 1989.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0.0" w:type="dxa"/>
      </w:tblPr>
      <w:tblGrid>
        <w:gridCol w:w="9926"/>
      </w:tblGrid>
      <w:tr>
        <w:trPr>
          <w:trHeight w:hRule="exact" w:val="286"/>
        </w:trPr>
        <w:tc>
          <w:tcPr>
            <w:tcW w:type="dxa" w:w="968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4" w:after="0"/>
              <w:ind w:left="0" w:right="0" w:firstLine="0"/>
              <w:jc w:val="center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En l’absence d’intermédiaire, les dispositions relatives aux honoraires de location ne s’appliquent pas au présent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410"/>
        </w:trPr>
        <w:tc>
          <w:tcPr>
            <w:tcW w:type="dxa" w:w="9666"/>
            <w:tcBorders>
              <w:bottom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0" w:after="0"/>
              <w:ind w:left="11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contrat.</w:t>
            </w:r>
          </w:p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4963"/>
        <w:gridCol w:w="4963"/>
      </w:tblGrid>
      <w:tr>
        <w:trPr>
          <w:trHeight w:hRule="exact" w:val="646"/>
        </w:trPr>
        <w:tc>
          <w:tcPr>
            <w:tcW w:type="dxa" w:w="9864"/>
            <w:gridSpan w:val="2"/>
            <w:tcBorders/>
            <w:shd w:fill="1e5182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IX) AUTRES CONDITIONS PARTICULIÈRES</w:t>
            </w:r>
          </w:p>
        </w:tc>
      </w:tr>
      <w:tr>
        <w:trPr>
          <w:trHeight w:hRule="exact" w:val="1006"/>
        </w:trPr>
        <w:tc>
          <w:tcPr>
            <w:tcW w:type="dxa" w:w="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420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50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50" w:after="0"/>
              <w:ind w:left="102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Conditions particulières et clauses spécifiques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Cette section regroupe l’ensemble des dispositions particulières convenues entre les parties, en</w:t>
            </w:r>
          </w:p>
        </w:tc>
      </w:tr>
    </w:tbl>
    <w:p>
      <w:pPr>
        <w:autoSpaceDN w:val="0"/>
        <w:autoSpaceDE w:val="0"/>
        <w:widowControl/>
        <w:spacing w:line="278" w:lineRule="exact" w:before="24" w:after="682"/>
        <w:ind w:left="49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complément des conditions générales du bail.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26"/>
      </w:tblGrid>
      <w:tr>
        <w:trPr>
          <w:trHeight w:hRule="exact" w:val="362"/>
        </w:trPr>
        <w:tc>
          <w:tcPr>
            <w:tcW w:type="dxa" w:w="9766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6"/>
            </w:tblGrid>
            <w:tr>
              <w:trPr>
                <w:trHeight w:hRule="exact" w:val="342"/>
              </w:trPr>
              <w:tc>
                <w:tcPr>
                  <w:tcW w:type="dxa" w:w="491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IX.1) A. DROIT DE VISITE DU BAILLEUR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92"/>
        </w:trPr>
        <w:tc>
          <w:tcPr>
            <w:tcW w:type="dxa" w:w="9766"/>
            <w:tcBorders>
              <w:bottom w:sz="8.0" w:val="single" w:color="#A9AEB1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26"/>
      </w:tblGrid>
      <w:tr>
        <w:trPr>
          <w:trHeight w:hRule="exact" w:val="526"/>
        </w:trPr>
        <w:tc>
          <w:tcPr>
            <w:tcW w:type="dxa" w:w="9864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90" w:after="0"/>
              <w:ind w:left="54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555D64"/>
                <w:sz w:val="21"/>
              </w:rPr>
              <w:t>DROIT DE VISITE STANDARD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26"/>
      </w:tblGrid>
      <w:tr>
        <w:trPr>
          <w:trHeight w:hRule="exact" w:val="364"/>
        </w:trPr>
        <w:tc>
          <w:tcPr>
            <w:tcW w:type="dxa" w:w="950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0" w:lineRule="exact" w:before="48" w:after="0"/>
              <w:ind w:left="30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Le bailleur peut visiter les lieux loués en respectant un préavis de 24 heures et uniquement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26"/>
      </w:tblGrid>
      <w:tr>
        <w:trPr>
          <w:trHeight w:hRule="exact" w:val="342"/>
        </w:trPr>
        <w:tc>
          <w:tcPr>
            <w:tcW w:type="dxa" w:w="950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26" w:after="0"/>
              <w:ind w:left="30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pour des motifs légitimes (vérification de l’état du logement, travaux nécessaires, recherche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498"/>
        </w:trPr>
        <w:tc>
          <w:tcPr>
            <w:tcW w:type="dxa" w:w="9666"/>
            <w:tcBorders>
              <w:bottom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26" w:after="0"/>
              <w:ind w:left="44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d’acquéreur en cas de vente).</w:t>
            </w:r>
          </w:p>
        </w:tc>
      </w:tr>
    </w:tbl>
    <w:p>
      <w:pPr>
        <w:autoSpaceDN w:val="0"/>
        <w:autoSpaceDE w:val="0"/>
        <w:widowControl/>
        <w:spacing w:line="54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4963"/>
        <w:gridCol w:w="4963"/>
      </w:tblGrid>
      <w:tr>
        <w:trPr>
          <w:trHeight w:hRule="exact" w:val="360"/>
        </w:trPr>
        <w:tc>
          <w:tcPr>
            <w:tcW w:type="dxa" w:w="9766"/>
            <w:gridSpan w:val="2"/>
            <w:tcBorders>
              <w:start w:sz="24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6"/>
            </w:tblGrid>
            <w:tr>
              <w:trPr>
                <w:trHeight w:hRule="exact" w:val="340"/>
              </w:trPr>
              <w:tc>
                <w:tcPr>
                  <w:tcW w:type="dxa" w:w="6298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IX.2) B. MODALITÉS DE PAIEMENT PARTICULIÈRES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186"/>
        </w:trPr>
        <w:tc>
          <w:tcPr>
            <w:tcW w:type="dxa" w:w="560"/>
            <w:tcBorders>
              <w:start w:sz="24.0" w:val="single" w:color="#1E5182"/>
              <w:bottom w:sz="8.0" w:val="single" w:color="#C78C27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332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206"/>
            <w:tcBorders>
              <w:bottom w:sz="8.0" w:val="single" w:color="#C78C27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342" w:after="0"/>
              <w:ind w:left="9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Modalités de paiement spécifiques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26"/>
      </w:tblGrid>
      <w:tr>
        <w:trPr>
          <w:trHeight w:hRule="exact" w:val="538"/>
        </w:trPr>
        <w:tc>
          <w:tcPr>
            <w:tcW w:type="dxa" w:w="9864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92" w:after="0"/>
              <w:ind w:left="25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>RAPPEL DES CONDITIONS DE PAIEMENT</w:t>
            </w:r>
          </w:p>
        </w:tc>
      </w:tr>
    </w:tbl>
    <w:p>
      <w:pPr>
        <w:autoSpaceDN w:val="0"/>
        <w:autoSpaceDE w:val="0"/>
        <w:widowControl/>
        <w:spacing w:line="3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912"/>
        </w:trPr>
        <w:tc>
          <w:tcPr>
            <w:tcW w:type="dxa" w:w="958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0" w:lineRule="exact" w:before="78" w:after="0"/>
              <w:ind w:left="152" w:right="144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Le paiement doit être effectué le 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1 de chaque mois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par 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virement bancaire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Tout retard de paiement entraînera l’application d’intérêts de retard au taux légal en vigueur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En cas de paiement par chèque, le loyer ne sera considéré comme réglé qu’après encaissement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762"/>
        </w:trPr>
        <w:tc>
          <w:tcPr>
            <w:tcW w:type="dxa" w:w="9666"/>
            <w:tcBorders>
              <w:bottom w:sz="8.0" w:val="single" w:color="#C78C27"/>
            </w:tcBorders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62" w:val="left"/>
              </w:tabs>
              <w:autoSpaceDE w:val="0"/>
              <w:widowControl/>
              <w:spacing w:line="274" w:lineRule="exact" w:before="30" w:after="0"/>
              <w:ind w:left="152" w:right="216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effectif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Les frais bancaires liés aux rejets de paiement sont à la charge du locataire</w:t>
            </w:r>
          </w:p>
        </w:tc>
      </w:tr>
    </w:tbl>
    <w:p>
      <w:pPr>
        <w:autoSpaceDN w:val="0"/>
        <w:autoSpaceDE w:val="0"/>
        <w:widowControl/>
        <w:spacing w:line="278" w:lineRule="exact" w:before="522" w:after="0"/>
        <w:ind w:left="0" w:right="3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12</w:t>
      </w:r>
    </w:p>
    <w:p>
      <w:pPr>
        <w:sectPr>
          <w:pgSz w:w="11906" w:h="16838"/>
          <w:pgMar w:top="412" w:right="990" w:bottom="446" w:left="99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1346200</wp:posOffset>
            </wp:positionV>
            <wp:extent cx="6299200" cy="177800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77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3784600</wp:posOffset>
            </wp:positionV>
            <wp:extent cx="6299200" cy="57150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715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4983"/>
        <w:gridCol w:w="4983"/>
      </w:tblGrid>
      <w:tr>
        <w:trPr>
          <w:trHeight w:hRule="exact" w:val="840"/>
        </w:trPr>
        <w:tc>
          <w:tcPr>
            <w:tcW w:type="dxa" w:w="9874"/>
            <w:gridSpan w:val="2"/>
            <w:tcBorders>
              <w:top w:sz="4.0" w:val="single" w:color="#708095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9874"/>
            </w:tblGrid>
            <w:tr>
              <w:trPr>
                <w:trHeight w:hRule="exact" w:val="342"/>
              </w:trPr>
              <w:tc>
                <w:tcPr>
                  <w:tcW w:type="dxa" w:w="4522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IX.3) C. ÉQUIPEMENTS ESSENTIELS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16"/>
        </w:trPr>
        <w:tc>
          <w:tcPr>
            <w:tcW w:type="dxa" w:w="3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8" w:lineRule="exact" w:before="332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5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0" w:after="0"/>
              <w:ind w:left="102" w:right="37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Équipements de base du logement non meublé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logement dispose des équipements essentiels suivants :</w:t>
            </w:r>
          </w:p>
        </w:tc>
      </w:tr>
    </w:tbl>
    <w:p>
      <w:pPr>
        <w:autoSpaceDN w:val="0"/>
        <w:autoSpaceDE w:val="0"/>
        <w:widowControl/>
        <w:spacing w:line="314" w:lineRule="exact" w:before="0" w:after="682"/>
        <w:ind w:left="502" w:right="360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Installation électrique conforme aux normes de sécurité</w:t>
      </w: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Installation de gaz (le cas échéant) conforme aux normes</w:t>
      </w: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Équipements sanitaires (lavabo, douche ou baignoire, WC)</w:t>
      </w: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Cuisine aménagée avec point d’eau et évacuation</w:t>
      </w:r>
      <w:r>
        <w:br/>
      </w: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Système de chauffage </w:t>
      </w:r>
      <w:r>
        <w:br/>
      </w:r>
      <w:r>
        <w:rPr>
          <w:rFonts w:ascii="Avenir" w:hAnsi="Avenir" w:eastAsia="Avenir"/>
          <w:b w:val="0"/>
          <w:i w:val="0"/>
          <w:color w:val="000000"/>
          <w:sz w:val="21"/>
        </w:rPr>
        <w:t>Le locataire devra apporter son propre mobilier.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362"/>
        </w:trPr>
        <w:tc>
          <w:tcPr>
            <w:tcW w:type="dxa" w:w="8420"/>
            <w:gridSpan w:val="2"/>
            <w:tcBorders>
              <w:start w:sz="24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8420"/>
            </w:tblGrid>
            <w:tr>
              <w:trPr>
                <w:trHeight w:hRule="exact" w:val="342"/>
              </w:trPr>
              <w:tc>
                <w:tcPr>
                  <w:tcW w:type="dxa" w:w="395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IX.4) D. FRANCHISE DE LOYER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52"/>
        </w:trPr>
        <w:tc>
          <w:tcPr>
            <w:tcW w:type="dxa" w:w="360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8" w:lineRule="exact" w:before="332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80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0" w:after="0"/>
              <w:ind w:left="102" w:right="144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Aucune franchise de loyer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loyer est dû dès la prise d’effet du bail, sans période de franchise.</w:t>
            </w:r>
          </w:p>
        </w:tc>
      </w:tr>
    </w:tbl>
    <w:p>
      <w:pPr>
        <w:autoSpaceDN w:val="0"/>
        <w:autoSpaceDE w:val="0"/>
        <w:widowControl/>
        <w:spacing w:line="62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554"/>
        </w:trPr>
        <w:tc>
          <w:tcPr>
            <w:tcW w:type="dxa" w:w="9876"/>
            <w:gridSpan w:val="2"/>
            <w:tcBorders>
              <w:start w:sz="24.0" w:val="single" w:color="#1E5182"/>
              <w:bottom w:sz="16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876"/>
            </w:tblGrid>
            <w:tr>
              <w:trPr>
                <w:trHeight w:hRule="exact" w:val="342"/>
              </w:trPr>
              <w:tc>
                <w:tcPr>
                  <w:tcW w:type="dxa" w:w="7192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IX.5) E. CONDITIONS PARTICULIÈRES COMPLÉMENTAIRES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486"/>
        </w:trPr>
        <w:tc>
          <w:tcPr>
            <w:tcW w:type="dxa" w:w="2480"/>
            <w:tcBorders>
              <w:start w:sz="24.0" w:val="single" w:color="#1E5182"/>
              <w:top w:sz="16.0" w:val="single" w:color="#1E5182"/>
              <w:bottom w:sz="4.0" w:val="single" w:color="#A9AEB1"/>
            </w:tcBorders>
            <w:shd w:fill="e8ed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8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Type de clause</w:t>
            </w:r>
          </w:p>
        </w:tc>
        <w:tc>
          <w:tcPr>
            <w:tcW w:type="dxa" w:w="7396"/>
            <w:tcBorders>
              <w:top w:sz="16.0" w:val="single" w:color="#1E5182"/>
              <w:bottom w:sz="4.0" w:val="single" w:color="#A9AEB1"/>
            </w:tcBorders>
            <w:shd w:fill="e8ed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8" w:after="0"/>
              <w:ind w:left="1634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Dispositions</w:t>
            </w:r>
          </w:p>
        </w:tc>
      </w:tr>
      <w:tr>
        <w:trPr>
          <w:trHeight w:hRule="exact" w:val="790"/>
        </w:trPr>
        <w:tc>
          <w:tcPr>
            <w:tcW w:type="dxa" w:w="2480"/>
            <w:tcBorders>
              <w:start w:sz="24.0" w:val="single" w:color="#1E5182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82" w:after="0"/>
              <w:ind w:left="138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Régularisation au départ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Renonciation éventuelle</w:t>
            </w:r>
          </w:p>
        </w:tc>
        <w:tc>
          <w:tcPr>
            <w:tcW w:type="dxa" w:w="739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72" w:after="0"/>
              <w:ind w:left="1634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Régularisation selon dispositions légales</w:t>
            </w:r>
          </w:p>
        </w:tc>
      </w:tr>
      <w:tr>
        <w:trPr>
          <w:trHeight w:hRule="exact" w:val="790"/>
        </w:trPr>
        <w:tc>
          <w:tcPr>
            <w:tcW w:type="dxa" w:w="2480"/>
            <w:tcBorders>
              <w:start w:sz="24.0" w:val="single" w:color="#1E5182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82" w:after="0"/>
              <w:ind w:left="0" w:right="0" w:firstLine="0"/>
              <w:jc w:val="center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Entretien des appareils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Maintenance et réparations</w:t>
            </w:r>
          </w:p>
        </w:tc>
        <w:tc>
          <w:tcPr>
            <w:tcW w:type="dxa" w:w="7396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72" w:after="0"/>
              <w:ind w:left="1634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Entretien selon usage normal</w:t>
            </w:r>
          </w:p>
        </w:tc>
      </w:tr>
      <w:tr>
        <w:trPr>
          <w:trHeight w:hRule="exact" w:val="790"/>
        </w:trPr>
        <w:tc>
          <w:tcPr>
            <w:tcW w:type="dxa" w:w="2480"/>
            <w:tcBorders>
              <w:start w:sz="24.0" w:val="single" w:color="#1E5182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84" w:after="0"/>
              <w:ind w:left="138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Dégradations et vétusté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Grille de vétusté</w:t>
            </w:r>
          </w:p>
        </w:tc>
        <w:tc>
          <w:tcPr>
            <w:tcW w:type="dxa" w:w="739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74" w:after="0"/>
              <w:ind w:left="1634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Selon grille de vétusté légale</w:t>
            </w:r>
          </w:p>
        </w:tc>
      </w:tr>
      <w:tr>
        <w:trPr>
          <w:trHeight w:hRule="exact" w:val="790"/>
        </w:trPr>
        <w:tc>
          <w:tcPr>
            <w:tcW w:type="dxa" w:w="2480"/>
            <w:tcBorders>
              <w:start w:sz="24.0" w:val="single" w:color="#1E5182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84" w:after="0"/>
              <w:ind w:left="138" w:right="288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Détention d’animaux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Autorisation/interdiction</w:t>
            </w:r>
          </w:p>
        </w:tc>
        <w:tc>
          <w:tcPr>
            <w:tcW w:type="dxa" w:w="7396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74" w:after="0"/>
              <w:ind w:left="1634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Selon dispositions légales</w:t>
            </w:r>
          </w:p>
        </w:tc>
      </w:tr>
      <w:tr>
        <w:trPr>
          <w:trHeight w:hRule="exact" w:val="792"/>
        </w:trPr>
        <w:tc>
          <w:tcPr>
            <w:tcW w:type="dxa" w:w="2480"/>
            <w:tcBorders>
              <w:start w:sz="24.0" w:val="single" w:color="#1E5182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84" w:after="0"/>
              <w:ind w:left="138" w:right="288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Assurance habitation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Obligation du locataire</w:t>
            </w:r>
          </w:p>
        </w:tc>
        <w:tc>
          <w:tcPr>
            <w:tcW w:type="dxa" w:w="739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74" w:after="0"/>
              <w:ind w:left="1634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Assurance obligatoire selon la loi</w:t>
            </w:r>
          </w:p>
        </w:tc>
      </w:tr>
      <w:tr>
        <w:trPr>
          <w:trHeight w:hRule="exact" w:val="742"/>
        </w:trPr>
        <w:tc>
          <w:tcPr>
            <w:tcW w:type="dxa" w:w="2480"/>
            <w:tcBorders>
              <w:start w:sz="24.0" w:val="single" w:color="#1E5182"/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84" w:after="0"/>
              <w:ind w:left="138" w:right="288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Clause personnalisée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Dispositions particulières</w:t>
            </w:r>
          </w:p>
        </w:tc>
        <w:tc>
          <w:tcPr>
            <w:tcW w:type="dxa" w:w="7396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74" w:after="0"/>
              <w:ind w:left="1634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Aucune clause particulière supplémentaire</w:t>
            </w:r>
          </w:p>
        </w:tc>
      </w:tr>
    </w:tbl>
    <w:p>
      <w:pPr>
        <w:autoSpaceDN w:val="0"/>
        <w:autoSpaceDE w:val="0"/>
        <w:widowControl/>
        <w:spacing w:line="278" w:lineRule="exact" w:before="2560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13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1587500</wp:posOffset>
            </wp:positionV>
            <wp:extent cx="6299200" cy="7620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62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2565400</wp:posOffset>
            </wp:positionV>
            <wp:extent cx="6299200" cy="7747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74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4864100</wp:posOffset>
            </wp:positionV>
            <wp:extent cx="6299200" cy="7620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62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6299200</wp:posOffset>
            </wp:positionV>
            <wp:extent cx="6299200" cy="7620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6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.999999999999943" w:type="dxa"/>
      </w:tblPr>
      <w:tblGrid>
        <w:gridCol w:w="4977"/>
        <w:gridCol w:w="4977"/>
      </w:tblGrid>
      <w:tr>
        <w:trPr>
          <w:trHeight w:hRule="exact" w:val="1124"/>
        </w:trPr>
        <w:tc>
          <w:tcPr>
            <w:tcW w:type="dxa" w:w="9874"/>
            <w:gridSpan w:val="2"/>
            <w:tcBorders>
              <w:top w:sz="4.0" w:val="single" w:color="#708095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9874"/>
            </w:tblGrid>
            <w:tr>
              <w:trPr>
                <w:trHeight w:hRule="exact" w:val="626"/>
              </w:trPr>
              <w:tc>
                <w:tcPr>
                  <w:tcW w:type="dxa" w:w="9864"/>
                  <w:tcBorders/>
                  <w:shd w:fill="1e518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82" w:lineRule="exact" w:before="142" w:after="0"/>
                    <w:ind w:left="280" w:right="0" w:firstLine="0"/>
                    <w:jc w:val="left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FFFFFF"/>
                      <w:sz w:val="28"/>
                    </w:rPr>
                    <w:t>X) CAUTIONNEMENT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006"/>
        </w:trPr>
        <w:tc>
          <w:tcPr>
            <w:tcW w:type="dxa" w:w="5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420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3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50" w:after="0"/>
              <w:ind w:left="98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Cautionnement et garanties financières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Cette section détaille les garanties fournies par le(s) locataire(s) pour sécuriser l’exécution de</w:t>
            </w:r>
          </w:p>
        </w:tc>
      </w:tr>
    </w:tbl>
    <w:p>
      <w:pPr>
        <w:autoSpaceDN w:val="0"/>
        <w:autoSpaceDE w:val="0"/>
        <w:widowControl/>
        <w:spacing w:line="278" w:lineRule="exact" w:before="18" w:after="600"/>
        <w:ind w:left="688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leurs obligations contractuelles.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10.0" w:type="dxa"/>
      </w:tblPr>
      <w:tblGrid>
        <w:gridCol w:w="4977"/>
        <w:gridCol w:w="4977"/>
      </w:tblGrid>
      <w:tr>
        <w:trPr>
          <w:trHeight w:hRule="exact" w:val="646"/>
        </w:trPr>
        <w:tc>
          <w:tcPr>
            <w:tcW w:type="dxa" w:w="2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60" w:after="0"/>
              <w:ind w:left="0" w:right="0" w:firstLine="0"/>
              <w:jc w:val="center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0" w:after="0"/>
              <w:ind w:left="10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Aucun cautionnement fourni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locataire s’engage sur ses seuls biens et revenus pour l’exécution de ses obligations contrac-</w:t>
            </w:r>
          </w:p>
        </w:tc>
      </w:tr>
    </w:tbl>
    <w:p>
      <w:pPr>
        <w:autoSpaceDN w:val="0"/>
        <w:autoSpaceDE w:val="0"/>
        <w:widowControl/>
        <w:spacing w:line="278" w:lineRule="exact" w:before="24" w:after="0"/>
        <w:ind w:left="49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tuelles.</w:t>
      </w:r>
    </w:p>
    <w:p>
      <w:pPr>
        <w:autoSpaceDN w:val="0"/>
        <w:autoSpaceDE w:val="0"/>
        <w:widowControl/>
        <w:spacing w:line="278" w:lineRule="exact" w:before="376" w:after="0"/>
        <w:ind w:left="0" w:right="0" w:firstLine="0"/>
        <w:jc w:val="center"/>
      </w:pPr>
      <w:r>
        <w:rPr>
          <w:rFonts w:ascii="Avenir" w:hAnsi="Avenir" w:eastAsia="Avenir"/>
          <w:b w:val="0"/>
          <w:i w:val="0"/>
          <w:color w:val="000000"/>
          <w:sz w:val="21"/>
        </w:rPr>
        <w:t>En l’absence de caution, le locataire assume personnellement et exclusivement l’ensemble de ses obliga-</w:t>
      </w:r>
    </w:p>
    <w:p>
      <w:pPr>
        <w:autoSpaceDN w:val="0"/>
        <w:autoSpaceDE w:val="0"/>
        <w:widowControl/>
        <w:spacing w:line="278" w:lineRule="exact" w:before="48" w:after="0"/>
        <w:ind w:left="0" w:right="0" w:firstLine="0"/>
        <w:jc w:val="center"/>
      </w:pPr>
      <w:r>
        <w:rPr>
          <w:rFonts w:ascii="Avenir" w:hAnsi="Avenir" w:eastAsia="Avenir"/>
          <w:b w:val="0"/>
          <w:i w:val="0"/>
          <w:color w:val="000000"/>
          <w:sz w:val="21"/>
        </w:rPr>
        <w:t>tions contractuelles. Le bailleur pourra, en cas de défaillance, exercer tous recours légaux contre le seul</w:t>
      </w:r>
    </w:p>
    <w:p>
      <w:pPr>
        <w:autoSpaceDN w:val="0"/>
        <w:autoSpaceDE w:val="0"/>
        <w:widowControl/>
        <w:spacing w:line="278" w:lineRule="exact" w:before="50" w:after="352"/>
        <w:ind w:left="30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locataire.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4977"/>
        <w:gridCol w:w="4977"/>
      </w:tblGrid>
      <w:tr>
        <w:trPr>
          <w:trHeight w:hRule="exact" w:val="646"/>
        </w:trPr>
        <w:tc>
          <w:tcPr>
            <w:tcW w:type="dxa" w:w="9864"/>
            <w:gridSpan w:val="2"/>
            <w:tcBorders/>
            <w:shd w:fill="1e5182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XI) ANNEXES</w:t>
            </w:r>
          </w:p>
        </w:tc>
      </w:tr>
      <w:tr>
        <w:trPr>
          <w:trHeight w:hRule="exact" w:val="1006"/>
        </w:trPr>
        <w:tc>
          <w:tcPr>
            <w:tcW w:type="dxa" w:w="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420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50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50" w:after="0"/>
              <w:ind w:left="102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Documents annexes obligatoires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Cette section liste l’ensemble des pièces et documents qui doivent être joints au présent contrat</w:t>
            </w:r>
          </w:p>
        </w:tc>
      </w:tr>
    </w:tbl>
    <w:p>
      <w:pPr>
        <w:autoSpaceDN w:val="0"/>
        <w:autoSpaceDE w:val="0"/>
        <w:widowControl/>
        <w:spacing w:line="278" w:lineRule="exact" w:before="24" w:after="682"/>
        <w:ind w:left="49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de bail conformément à la réglementation en vigueur.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4977"/>
        <w:gridCol w:w="4977"/>
      </w:tblGrid>
      <w:tr>
        <w:trPr>
          <w:trHeight w:hRule="exact" w:val="362"/>
        </w:trPr>
        <w:tc>
          <w:tcPr>
            <w:tcW w:type="dxa" w:w="9800"/>
            <w:gridSpan w:val="2"/>
            <w:tcBorders>
              <w:start w:sz="24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800"/>
            </w:tblGrid>
            <w:tr>
              <w:trPr>
                <w:trHeight w:hRule="exact" w:val="342"/>
              </w:trPr>
              <w:tc>
                <w:tcPr>
                  <w:tcW w:type="dxa" w:w="495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XI.1) A. RÈGLEMENT DE COPROPRIÉTÉ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20"/>
        </w:trPr>
        <w:tc>
          <w:tcPr>
            <w:tcW w:type="dxa" w:w="360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332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2" w:after="0"/>
              <w:ind w:left="10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Logement individuel - Non applicable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Ce document n’est pas requis pour les logements individuels non soumis au régime de la copro-</w:t>
            </w:r>
          </w:p>
        </w:tc>
      </w:tr>
    </w:tbl>
    <w:p>
      <w:pPr>
        <w:autoSpaceDN w:val="0"/>
        <w:autoSpaceDE w:val="0"/>
        <w:widowControl/>
        <w:spacing w:line="278" w:lineRule="exact" w:before="24" w:after="0"/>
        <w:ind w:left="49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priété.</w:t>
      </w:r>
    </w:p>
    <w:p>
      <w:pPr>
        <w:autoSpaceDN w:val="0"/>
        <w:autoSpaceDE w:val="0"/>
        <w:widowControl/>
        <w:spacing w:line="278" w:lineRule="exact" w:before="4696" w:after="0"/>
        <w:ind w:left="0" w:right="58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14</w:t>
      </w:r>
    </w:p>
    <w:p>
      <w:pPr>
        <w:sectPr>
          <w:pgSz w:w="11906" w:h="16838"/>
          <w:pgMar w:top="412" w:right="962" w:bottom="446" w:left="99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1346200</wp:posOffset>
            </wp:positionV>
            <wp:extent cx="6299200" cy="7747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74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4983"/>
        <w:gridCol w:w="4983"/>
      </w:tblGrid>
      <w:tr>
        <w:trPr>
          <w:trHeight w:hRule="exact" w:val="840"/>
        </w:trPr>
        <w:tc>
          <w:tcPr>
            <w:tcW w:type="dxa" w:w="9874"/>
            <w:gridSpan w:val="2"/>
            <w:tcBorders>
              <w:top w:sz="4.0" w:val="single" w:color="#708095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9874"/>
            </w:tblGrid>
            <w:tr>
              <w:trPr>
                <w:trHeight w:hRule="exact" w:val="342"/>
              </w:trPr>
              <w:tc>
                <w:tcPr>
                  <w:tcW w:type="dxa" w:w="5828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XI.2) B. DOSSIER DE DIAGNOSTIC TECHNIQUE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16"/>
        </w:trPr>
        <w:tc>
          <w:tcPr>
            <w:tcW w:type="dxa" w:w="5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332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3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0" w:after="0"/>
              <w:ind w:left="98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Diagnostics obligatoires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dossier de diagnostic technique est obligatoire et doit être remis au locataire avant la signature</w:t>
            </w:r>
          </w:p>
        </w:tc>
      </w:tr>
    </w:tbl>
    <w:p>
      <w:pPr>
        <w:autoSpaceDN w:val="0"/>
        <w:autoSpaceDE w:val="0"/>
        <w:widowControl/>
        <w:spacing w:line="278" w:lineRule="exact" w:before="20" w:after="416"/>
        <w:ind w:left="698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du bail.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3322"/>
        <w:gridCol w:w="3322"/>
        <w:gridCol w:w="3322"/>
      </w:tblGrid>
      <w:tr>
        <w:trPr>
          <w:trHeight w:hRule="exact" w:val="486"/>
        </w:trPr>
        <w:tc>
          <w:tcPr>
            <w:tcW w:type="dxa" w:w="5310"/>
            <w:tcBorders>
              <w:top w:sz="16.0" w:val="single" w:color="#DB3444"/>
              <w:bottom w:sz="4.0" w:val="single" w:color="#A9AEB1"/>
            </w:tcBorders>
            <w:shd w:fill="fbea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86" w:after="0"/>
              <w:ind w:left="514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Diagnostic</w:t>
            </w:r>
          </w:p>
        </w:tc>
        <w:tc>
          <w:tcPr>
            <w:tcW w:type="dxa" w:w="2140"/>
            <w:tcBorders>
              <w:top w:sz="16.0" w:val="single" w:color="#DB3444"/>
              <w:bottom w:sz="4.0" w:val="single" w:color="#A9AEB1"/>
            </w:tcBorders>
            <w:shd w:fill="fbea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86" w:after="0"/>
              <w:ind w:left="426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Obligatoire</w:t>
            </w:r>
          </w:p>
        </w:tc>
        <w:tc>
          <w:tcPr>
            <w:tcW w:type="dxa" w:w="2436"/>
            <w:tcBorders>
              <w:top w:sz="16.0" w:val="single" w:color="#DB3444"/>
              <w:bottom w:sz="4.0" w:val="single" w:color="#A9AEB1"/>
            </w:tcBorders>
            <w:shd w:fill="fbea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86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Conditions</w:t>
            </w:r>
          </w:p>
        </w:tc>
      </w:tr>
      <w:tr>
        <w:trPr>
          <w:trHeight w:hRule="exact" w:val="416"/>
        </w:trPr>
        <w:tc>
          <w:tcPr>
            <w:tcW w:type="dxa" w:w="531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2" w:after="0"/>
              <w:ind w:left="514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Diagnostic de Performance Énergétique (DPE)</w:t>
            </w:r>
          </w:p>
        </w:tc>
        <w:tc>
          <w:tcPr>
            <w:tcW w:type="dxa" w:w="214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02" w:after="0"/>
              <w:ind w:left="0" w:right="830" w:firstLine="0"/>
              <w:jc w:val="right"/>
            </w:pPr>
            <w:r>
              <w:rPr>
                <w:rFonts w:ascii=".SF NS" w:hAnsi=".SF NS" w:eastAsia=".SF NS"/>
                <w:b w:val="0"/>
                <w:i w:val="0"/>
                <w:color w:val="288228"/>
                <w:sz w:val="21"/>
              </w:rPr>
              <w:t>✓</w:t>
            </w:r>
            <w:r>
              <w:rPr>
                <w:rFonts w:ascii="Avenir Black" w:hAnsi="Avenir Black" w:eastAsia="Avenir Black"/>
                <w:b/>
                <w:i w:val="0"/>
                <w:color w:val="288228"/>
                <w:sz w:val="21"/>
              </w:rPr>
              <w:t xml:space="preserve"> OUI</w:t>
            </w:r>
          </w:p>
        </w:tc>
        <w:tc>
          <w:tcPr>
            <w:tcW w:type="dxa" w:w="2436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110" w:after="0"/>
              <w:ind w:left="0" w:right="0" w:firstLine="0"/>
              <w:jc w:val="center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Tous logements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3322"/>
        <w:gridCol w:w="3322"/>
        <w:gridCol w:w="3322"/>
      </w:tblGrid>
      <w:tr>
        <w:trPr>
          <w:trHeight w:hRule="exact" w:val="394"/>
        </w:trPr>
        <w:tc>
          <w:tcPr>
            <w:tcW w:type="dxa" w:w="5570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46" w:after="0"/>
              <w:ind w:left="514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Évaluation énergétique du logement</w:t>
            </w:r>
          </w:p>
        </w:tc>
        <w:tc>
          <w:tcPr>
            <w:tcW w:type="dxa" w:w="1580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/>
        </w:tc>
        <w:tc>
          <w:tcPr>
            <w:tcW w:type="dxa" w:w="2736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14"/>
        </w:trPr>
        <w:tc>
          <w:tcPr>
            <w:tcW w:type="dxa" w:w="5570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2" w:after="0"/>
              <w:ind w:left="514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Constat de risque d’exposition au plomb</w:t>
            </w:r>
          </w:p>
        </w:tc>
        <w:tc>
          <w:tcPr>
            <w:tcW w:type="dxa" w:w="1580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02" w:after="0"/>
              <w:ind w:left="0" w:right="756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>SI</w:t>
            </w:r>
          </w:p>
        </w:tc>
        <w:tc>
          <w:tcPr>
            <w:tcW w:type="dxa" w:w="2736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10" w:after="0"/>
              <w:ind w:left="0" w:right="450" w:firstLine="0"/>
              <w:jc w:val="righ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Immeubles &lt; 1949</w:t>
            </w:r>
          </w:p>
        </w:tc>
      </w:tr>
    </w:tbl>
    <w:p>
      <w:pPr>
        <w:autoSpaceDN w:val="0"/>
        <w:autoSpaceDE w:val="0"/>
        <w:widowControl/>
        <w:spacing w:line="278" w:lineRule="exact" w:before="20" w:after="0"/>
        <w:ind w:left="544" w:right="0" w:firstLine="0"/>
        <w:jc w:val="left"/>
      </w:pPr>
      <w:r>
        <w:rPr>
          <w:rFonts w:ascii="Avenir Medium" w:hAnsi="Avenir Medium" w:eastAsia="Avenir Medium"/>
          <w:b w:val="0"/>
          <w:i w:val="0"/>
          <w:color w:val="000000"/>
          <w:sz w:val="21"/>
        </w:rPr>
        <w:t>(CREP)</w:t>
      </w:r>
    </w:p>
    <w:p>
      <w:pPr>
        <w:autoSpaceDN w:val="0"/>
        <w:autoSpaceDE w:val="0"/>
        <w:widowControl/>
        <w:spacing w:line="240" w:lineRule="exact" w:before="56" w:after="102"/>
        <w:ind w:left="544" w:right="0" w:firstLine="0"/>
        <w:jc w:val="left"/>
      </w:pPr>
      <w:r>
        <w:rPr>
          <w:rFonts w:ascii="Avenir" w:hAnsi="Avenir" w:eastAsia="Avenir"/>
          <w:b w:val="0"/>
          <w:i w:val="0"/>
          <w:color w:val="555D64"/>
          <w:sz w:val="18"/>
        </w:rPr>
        <w:t>Dépistage du plomb dans les peintures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3322"/>
        <w:gridCol w:w="3322"/>
        <w:gridCol w:w="3322"/>
      </w:tblGrid>
      <w:tr>
        <w:trPr>
          <w:trHeight w:hRule="exact" w:val="420"/>
        </w:trPr>
        <w:tc>
          <w:tcPr>
            <w:tcW w:type="dxa" w:w="405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4" w:after="0"/>
              <w:ind w:left="514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État amiante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15</w:t>
            </w:r>
          </w:p>
        </w:tc>
        <w:tc>
          <w:tcPr>
            <w:tcW w:type="dxa" w:w="322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04" w:after="0"/>
              <w:ind w:left="0" w:right="876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>SI</w:t>
            </w:r>
          </w:p>
        </w:tc>
        <w:tc>
          <w:tcPr>
            <w:tcW w:type="dxa" w:w="2616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112" w:after="0"/>
              <w:ind w:left="0" w:right="692" w:firstLine="0"/>
              <w:jc w:val="righ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Selon décret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3322"/>
        <w:gridCol w:w="3322"/>
        <w:gridCol w:w="3322"/>
      </w:tblGrid>
      <w:tr>
        <w:trPr>
          <w:trHeight w:hRule="exact" w:val="390"/>
        </w:trPr>
        <w:tc>
          <w:tcPr>
            <w:tcW w:type="dxa" w:w="5230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44" w:after="0"/>
              <w:ind w:left="514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Présence de matériaux contenant de l’amiante</w:t>
            </w:r>
          </w:p>
        </w:tc>
        <w:tc>
          <w:tcPr>
            <w:tcW w:type="dxa" w:w="1960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/>
        </w:tc>
        <w:tc>
          <w:tcPr>
            <w:tcW w:type="dxa" w:w="2696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20"/>
        </w:trPr>
        <w:tc>
          <w:tcPr>
            <w:tcW w:type="dxa" w:w="5230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4" w:after="0"/>
              <w:ind w:left="514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État installation électricité et gaz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16</w:t>
            </w:r>
          </w:p>
        </w:tc>
        <w:tc>
          <w:tcPr>
            <w:tcW w:type="dxa" w:w="1960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04" w:after="0"/>
              <w:ind w:left="0" w:right="796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>SI</w:t>
            </w:r>
          </w:p>
        </w:tc>
        <w:tc>
          <w:tcPr>
            <w:tcW w:type="dxa" w:w="2696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114" w:after="0"/>
              <w:ind w:left="0" w:right="534" w:firstLine="0"/>
              <w:jc w:val="righ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Selon conditions</w:t>
            </w:r>
          </w:p>
        </w:tc>
      </w:tr>
    </w:tbl>
    <w:p>
      <w:pPr>
        <w:autoSpaceDN w:val="0"/>
        <w:autoSpaceDE w:val="0"/>
        <w:widowControl/>
        <w:spacing w:line="238" w:lineRule="exact" w:before="24" w:after="108"/>
        <w:ind w:left="544" w:right="0" w:firstLine="0"/>
        <w:jc w:val="left"/>
      </w:pPr>
      <w:r>
        <w:rPr>
          <w:rFonts w:ascii="Avenir" w:hAnsi="Avenir" w:eastAsia="Avenir"/>
          <w:b w:val="0"/>
          <w:i w:val="0"/>
          <w:color w:val="555D64"/>
          <w:sz w:val="18"/>
        </w:rPr>
        <w:t>Sécurité des installations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3322"/>
        <w:gridCol w:w="3322"/>
        <w:gridCol w:w="3322"/>
      </w:tblGrid>
      <w:tr>
        <w:trPr>
          <w:trHeight w:hRule="exact" w:val="416"/>
        </w:trPr>
        <w:tc>
          <w:tcPr>
            <w:tcW w:type="dxa" w:w="551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98" w:after="0"/>
              <w:ind w:left="514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État des risques naturels et technologiques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17</w:t>
            </w:r>
          </w:p>
        </w:tc>
        <w:tc>
          <w:tcPr>
            <w:tcW w:type="dxa" w:w="170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98" w:after="0"/>
              <w:ind w:left="0" w:right="816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>SI</w:t>
            </w:r>
          </w:p>
        </w:tc>
        <w:tc>
          <w:tcPr>
            <w:tcW w:type="dxa" w:w="2676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108" w:after="0"/>
              <w:ind w:left="0" w:right="576" w:firstLine="0"/>
              <w:jc w:val="righ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Zones à risques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60.0" w:type="dxa"/>
      </w:tblPr>
      <w:tblGrid>
        <w:gridCol w:w="9966"/>
      </w:tblGrid>
      <w:tr>
        <w:trPr>
          <w:trHeight w:hRule="exact" w:val="344"/>
        </w:trPr>
        <w:tc>
          <w:tcPr>
            <w:tcW w:type="dxa" w:w="606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44" w:after="0"/>
              <w:ind w:left="284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Risques environnementaux</w:t>
            </w:r>
          </w:p>
        </w:tc>
      </w:tr>
    </w:tbl>
    <w:p>
      <w:pPr>
        <w:autoSpaceDN w:val="0"/>
        <w:autoSpaceDE w:val="0"/>
        <w:widowControl/>
        <w:spacing w:line="5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2"/>
        </w:trPr>
        <w:tc>
          <w:tcPr>
            <w:tcW w:type="dxa" w:w="4290"/>
            <w:tcBorders>
              <w:start w:sz="24.0" w:val="single" w:color="#1E5182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26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XI.3) C. NOTICE D’INFORMATION</w:t>
            </w:r>
          </w:p>
        </w:tc>
      </w:tr>
    </w:tbl>
    <w:p>
      <w:pPr>
        <w:autoSpaceDN w:val="0"/>
        <w:autoSpaceDE w:val="0"/>
        <w:widowControl/>
        <w:spacing w:line="19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0"/>
        </w:trPr>
        <w:tc>
          <w:tcPr>
            <w:tcW w:type="dxa" w:w="9766"/>
            <w:tcBorders>
              <w:start w:sz="24.0" w:val="single" w:color="#418BC9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6"/>
            </w:tblGrid>
            <w:tr>
              <w:trPr>
                <w:trHeight w:hRule="exact" w:val="340"/>
              </w:trPr>
              <w:tc>
                <w:tcPr>
                  <w:tcW w:type="dxa" w:w="355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8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Notice d’information obligatoire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272"/>
        </w:trPr>
        <w:tc>
          <w:tcPr>
            <w:tcW w:type="dxa" w:w="9766"/>
            <w:tcBorders>
              <w:bottom w:sz="8.0" w:val="single" w:color="#278227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526"/>
        </w:trPr>
        <w:tc>
          <w:tcPr>
            <w:tcW w:type="dxa" w:w="9864"/>
            <w:tcBorders/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92" w:after="0"/>
              <w:ind w:left="54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288228"/>
                <w:sz w:val="21"/>
              </w:rPr>
              <w:t>NOTICE D’INFORMATION</w:t>
            </w:r>
          </w:p>
        </w:tc>
      </w:tr>
    </w:tbl>
    <w:p>
      <w:pPr>
        <w:autoSpaceDN w:val="0"/>
        <w:autoSpaceDE w:val="0"/>
        <w:widowControl/>
        <w:spacing w:line="4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31.9999999999999" w:type="dxa"/>
      </w:tblPr>
      <w:tblGrid>
        <w:gridCol w:w="9966"/>
      </w:tblGrid>
      <w:tr>
        <w:trPr>
          <w:trHeight w:hRule="exact" w:val="324"/>
        </w:trPr>
        <w:tc>
          <w:tcPr>
            <w:tcW w:type="dxa" w:w="9468"/>
            <w:tcBorders>
              <w:start w:sz="31.999999999999943" w:val="single" w:color="#278227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6" w:after="0"/>
              <w:ind w:left="0" w:right="0" w:firstLine="0"/>
              <w:jc w:val="center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Document informatif relatif aux droits et obligations des locataires et des bailleurs, conforme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496"/>
        </w:trPr>
        <w:tc>
          <w:tcPr>
            <w:tcW w:type="dxa" w:w="9666"/>
            <w:tcBorders>
              <w:bottom w:sz="8.0" w:val="single" w:color="#278227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24" w:after="0"/>
              <w:ind w:left="44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aux dispositions légales en vigueur.</w:t>
            </w:r>
          </w:p>
        </w:tc>
      </w:tr>
    </w:tbl>
    <w:p>
      <w:pPr>
        <w:autoSpaceDN w:val="0"/>
        <w:autoSpaceDE w:val="0"/>
        <w:widowControl/>
        <w:spacing w:line="278" w:lineRule="exact" w:before="4182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15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1346200</wp:posOffset>
            </wp:positionV>
            <wp:extent cx="6299200" cy="4699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69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3322"/>
        <w:gridCol w:w="3322"/>
        <w:gridCol w:w="3322"/>
      </w:tblGrid>
      <w:tr>
        <w:trPr>
          <w:trHeight w:hRule="exact" w:val="840"/>
        </w:trPr>
        <w:tc>
          <w:tcPr>
            <w:tcW w:type="dxa" w:w="6164"/>
            <w:gridSpan w:val="2"/>
            <w:tcBorders>
              <w:top w:sz="4.0" w:val="single" w:color="#708095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6164"/>
            </w:tblGrid>
            <w:tr>
              <w:trPr>
                <w:trHeight w:hRule="exact" w:val="342"/>
              </w:trPr>
              <w:tc>
                <w:tcPr>
                  <w:tcW w:type="dxa" w:w="5074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XI.4) D. ÉTAT DES LIEUX ET INVENTAIRE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710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186"/>
        </w:trPr>
        <w:tc>
          <w:tcPr>
            <w:tcW w:type="dxa" w:w="564"/>
            <w:tcBorders>
              <w:bottom w:sz="16.0" w:val="single" w:color="#418BC9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332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5600"/>
            <w:tcBorders>
              <w:bottom w:sz="16.0" w:val="single" w:color="#418BC9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340" w:after="0"/>
              <w:ind w:left="9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Documents établis lors de la remise des clés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18</w:t>
            </w:r>
          </w:p>
        </w:tc>
        <w:tc>
          <w:tcPr>
            <w:tcW w:type="dxa" w:w="3710"/>
            <w:tcBorders>
              <w:bottom w:sz="16.0" w:val="single" w:color="#418BC9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86"/>
        </w:trPr>
        <w:tc>
          <w:tcPr>
            <w:tcW w:type="dxa" w:w="6164"/>
            <w:gridSpan w:val="2"/>
            <w:tcBorders>
              <w:top w:sz="16.0" w:val="single" w:color="#418BC9"/>
              <w:bottom w:sz="4.0" w:val="single" w:color="#A9AEB1"/>
            </w:tcBorders>
            <w:shd w:fill="ecf3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6" w:after="0"/>
              <w:ind w:left="50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Document</w:t>
            </w:r>
          </w:p>
        </w:tc>
        <w:tc>
          <w:tcPr>
            <w:tcW w:type="dxa" w:w="3710"/>
            <w:tcBorders>
              <w:top w:sz="16.0" w:val="single" w:color="#418BC9"/>
              <w:bottom w:sz="4.0" w:val="single" w:color="#A9AEB1"/>
            </w:tcBorders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6" w:after="0"/>
              <w:ind w:left="0" w:right="1742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Statut</w:t>
            </w:r>
          </w:p>
        </w:tc>
      </w:tr>
      <w:tr>
        <w:trPr>
          <w:trHeight w:hRule="exact" w:val="416"/>
        </w:trPr>
        <w:tc>
          <w:tcPr>
            <w:tcW w:type="dxa" w:w="6164"/>
            <w:gridSpan w:val="2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0" w:after="0"/>
              <w:ind w:left="508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État des lieux d’entrée</w:t>
            </w:r>
          </w:p>
        </w:tc>
        <w:tc>
          <w:tcPr>
            <w:tcW w:type="dxa" w:w="371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00" w:after="0"/>
              <w:ind w:left="0" w:right="1342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288228"/>
                <w:sz w:val="21"/>
              </w:rPr>
              <w:t>OBLIGATOIRE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4983"/>
        <w:gridCol w:w="4983"/>
      </w:tblGrid>
      <w:tr>
        <w:trPr>
          <w:trHeight w:hRule="exact" w:val="374"/>
        </w:trPr>
        <w:tc>
          <w:tcPr>
            <w:tcW w:type="dxa" w:w="5290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4" w:after="0"/>
              <w:ind w:left="514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Constat de l’état du logement</w:t>
            </w:r>
          </w:p>
        </w:tc>
        <w:tc>
          <w:tcPr>
            <w:tcW w:type="dxa" w:w="4596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16"/>
        </w:trPr>
        <w:tc>
          <w:tcPr>
            <w:tcW w:type="dxa" w:w="5290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2" w:after="0"/>
              <w:ind w:left="514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État descriptif des équipements</w:t>
            </w:r>
          </w:p>
        </w:tc>
        <w:tc>
          <w:tcPr>
            <w:tcW w:type="dxa" w:w="4596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02" w:after="0"/>
              <w:ind w:left="0" w:right="1252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428BCA"/>
                <w:sz w:val="21"/>
              </w:rPr>
              <w:t>RECOMMANDÉ</w:t>
            </w:r>
          </w:p>
        </w:tc>
      </w:tr>
    </w:tbl>
    <w:p>
      <w:pPr>
        <w:autoSpaceDN w:val="0"/>
        <w:autoSpaceDE w:val="0"/>
        <w:widowControl/>
        <w:spacing w:line="238" w:lineRule="exact" w:before="26" w:after="650"/>
        <w:ind w:left="544" w:right="0" w:firstLine="0"/>
        <w:jc w:val="left"/>
      </w:pPr>
      <w:r>
        <w:rPr>
          <w:rFonts w:ascii="Avenir" w:hAnsi="Avenir" w:eastAsia="Avenir"/>
          <w:b w:val="0"/>
          <w:i w:val="0"/>
          <w:color w:val="555D64"/>
          <w:sz w:val="18"/>
        </w:rPr>
        <w:t>Liste des équipements fixes et leur état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2"/>
        </w:trPr>
        <w:tc>
          <w:tcPr>
            <w:tcW w:type="dxa" w:w="9766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6"/>
            </w:tblGrid>
            <w:tr>
              <w:trPr>
                <w:trHeight w:hRule="exact" w:val="342"/>
              </w:trPr>
              <w:tc>
                <w:tcPr>
                  <w:tcW w:type="dxa" w:w="495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XI.5) E. DOCUMENTS CONDITIONNELS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92"/>
        </w:trPr>
        <w:tc>
          <w:tcPr>
            <w:tcW w:type="dxa" w:w="9766"/>
            <w:tcBorders>
              <w:bottom w:sz="8.0" w:val="single" w:color="#C78C27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1112"/>
        </w:trPr>
        <w:tc>
          <w:tcPr>
            <w:tcW w:type="dxa" w:w="594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56" w:val="left"/>
              </w:tabs>
              <w:autoSpaceDE w:val="0"/>
              <w:widowControl/>
              <w:spacing w:line="538" w:lineRule="exact" w:before="0" w:after="0"/>
              <w:ind w:left="252" w:right="86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 xml:space="preserve">DOCUMENTS SELON CONTEXTE </w:t>
            </w:r>
            <w:r>
              <w:br/>
            </w: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Autorisation préalable de mise en location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19</w:t>
            </w:r>
          </w:p>
        </w:tc>
        <w:tc>
          <w:tcPr>
            <w:tcW w:type="dxa" w:w="3924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800" w:after="0"/>
              <w:ind w:left="97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>SI APPLICABLE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80.0" w:type="dxa"/>
      </w:tblPr>
      <w:tblGrid>
        <w:gridCol w:w="4983"/>
        <w:gridCol w:w="4983"/>
      </w:tblGrid>
      <w:tr>
        <w:trPr>
          <w:trHeight w:hRule="exact" w:val="790"/>
        </w:trPr>
        <w:tc>
          <w:tcPr>
            <w:tcW w:type="dxa" w:w="526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0" w:lineRule="exact" w:before="0" w:after="0"/>
              <w:ind w:left="416" w:right="1296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Territoires à habitat dégradé</w:t>
            </w:r>
            <w:r>
              <w:br/>
            </w: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Références aux loyers du voisinage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20</w:t>
            </w:r>
          </w:p>
        </w:tc>
        <w:tc>
          <w:tcPr>
            <w:tcW w:type="dxa" w:w="358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480" w:after="0"/>
              <w:ind w:left="0" w:right="74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>SI APPLICABLE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626"/>
        </w:trPr>
        <w:tc>
          <w:tcPr>
            <w:tcW w:type="dxa" w:w="9666"/>
            <w:tcBorders>
              <w:bottom w:sz="8.0" w:val="single" w:color="#C78C27"/>
            </w:tcBorders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6" w:after="0"/>
              <w:ind w:left="656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Loyer précédemment sous-évalué</w:t>
            </w:r>
          </w:p>
        </w:tc>
      </w:tr>
    </w:tbl>
    <w:p>
      <w:pPr>
        <w:autoSpaceDN w:val="0"/>
        <w:autoSpaceDE w:val="0"/>
        <w:widowControl/>
        <w:spacing w:line="11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494"/>
        </w:trPr>
        <w:tc>
          <w:tcPr>
            <w:tcW w:type="dxa" w:w="9666"/>
            <w:tcBorders>
              <w:top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38" w:after="0"/>
              <w:ind w:left="11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1"/>
              </w:rPr>
              <w:t>Notes légales et réglementaires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58"/>
        </w:trPr>
        <w:tc>
          <w:tcPr>
            <w:tcW w:type="dxa" w:w="964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0" w:right="0" w:firstLine="0"/>
              <w:jc w:val="center"/>
            </w:pPr>
            <w:r>
              <w:rPr>
                <w:w w:val="98.18181991577148"/>
                <w:rFonts w:ascii="Avenir" w:hAnsi="Avenir" w:eastAsia="Avenir"/>
                <w:b w:val="0"/>
                <w:i w:val="0"/>
                <w:color w:val="000000"/>
                <w:sz w:val="11"/>
              </w:rPr>
              <w:t>15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 xml:space="preserve"> À compter de l’entrée en vigueur du décret d’application listant notamment les matériaux ou produits concernés.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58"/>
        </w:trPr>
        <w:tc>
          <w:tcPr>
            <w:tcW w:type="dxa" w:w="836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130" w:right="0" w:firstLine="0"/>
              <w:jc w:val="left"/>
            </w:pPr>
            <w:r>
              <w:rPr>
                <w:w w:val="98.18181991577148"/>
                <w:rFonts w:ascii="Avenir" w:hAnsi="Avenir" w:eastAsia="Avenir"/>
                <w:b w:val="0"/>
                <w:i w:val="0"/>
                <w:color w:val="000000"/>
                <w:sz w:val="11"/>
              </w:rPr>
              <w:t>16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 xml:space="preserve"> À compter de la date d’entrée en vigueur de cette disposition, prévue par décret.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58"/>
        </w:trPr>
        <w:tc>
          <w:tcPr>
            <w:tcW w:type="dxa" w:w="886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130" w:right="0" w:firstLine="0"/>
              <w:jc w:val="left"/>
            </w:pPr>
            <w:r>
              <w:rPr>
                <w:w w:val="98.18181991577148"/>
                <w:rFonts w:ascii="Avenir" w:hAnsi="Avenir" w:eastAsia="Avenir"/>
                <w:b w:val="0"/>
                <w:i w:val="0"/>
                <w:color w:val="000000"/>
                <w:sz w:val="11"/>
              </w:rPr>
              <w:t>17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 xml:space="preserve"> La liste des communes comprises dans ces zones est définie localement par arrêté préfectoral.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60"/>
        </w:trPr>
        <w:tc>
          <w:tcPr>
            <w:tcW w:type="dxa" w:w="970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60" w:after="0"/>
              <w:ind w:left="0" w:right="0" w:firstLine="0"/>
              <w:jc w:val="center"/>
            </w:pPr>
            <w:r>
              <w:rPr>
                <w:w w:val="98.18181991577148"/>
                <w:rFonts w:ascii="Avenir" w:hAnsi="Avenir" w:eastAsia="Avenir"/>
                <w:b w:val="0"/>
                <w:i w:val="0"/>
                <w:color w:val="000000"/>
                <w:sz w:val="11"/>
              </w:rPr>
              <w:t>18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 xml:space="preserve"> L’état des lieux d’entrée est établi lors de la remise des clés, dont la date peut être ultérieure à celle de conclusion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60"/>
        </w:trPr>
        <w:tc>
          <w:tcPr>
            <w:tcW w:type="dxa" w:w="542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60" w:after="0"/>
              <w:ind w:left="13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du contrat.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58"/>
        </w:trPr>
        <w:tc>
          <w:tcPr>
            <w:tcW w:type="dxa" w:w="970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0" w:right="0" w:firstLine="0"/>
              <w:jc w:val="center"/>
            </w:pPr>
            <w:r>
              <w:rPr>
                <w:w w:val="98.18181991577148"/>
                <w:rFonts w:ascii="Avenir" w:hAnsi="Avenir" w:eastAsia="Avenir"/>
                <w:b w:val="0"/>
                <w:i w:val="0"/>
                <w:color w:val="000000"/>
                <w:sz w:val="11"/>
              </w:rPr>
              <w:t>19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 xml:space="preserve"> Dispositif applicable dans certains territoires présentant une proportion importante d’habitat dégradé délimité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60"/>
        </w:trPr>
        <w:tc>
          <w:tcPr>
            <w:tcW w:type="dxa" w:w="972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60" w:after="0"/>
              <w:ind w:left="0" w:right="0" w:firstLine="0"/>
              <w:jc w:val="center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localement par l’établissement public de coopération intercommunale compétent en matière d’habitat ou, à défaut,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58"/>
        </w:trPr>
        <w:tc>
          <w:tcPr>
            <w:tcW w:type="dxa" w:w="970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0" w:right="0" w:firstLine="0"/>
              <w:jc w:val="center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le conseil municipal (art. 92 de la loi n° 2014-366 du 24 mars 2014 pour l’accès au logement et un urbanisme rénové).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22"/>
        </w:trPr>
        <w:tc>
          <w:tcPr>
            <w:tcW w:type="dxa" w:w="972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60" w:after="0"/>
              <w:ind w:left="0" w:right="0" w:firstLine="0"/>
              <w:jc w:val="center"/>
            </w:pPr>
            <w:r>
              <w:rPr>
                <w:w w:val="98.18181991577148"/>
                <w:rFonts w:ascii="Avenir" w:hAnsi="Avenir" w:eastAsia="Avenir"/>
                <w:b w:val="0"/>
                <w:i w:val="0"/>
                <w:color w:val="000000"/>
                <w:sz w:val="11"/>
              </w:rPr>
              <w:t>20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 xml:space="preserve"> Lorsque la détermination du montant du loyer est la conséquence d’une procédure liée au fait que le loyer précé-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450"/>
        </w:trPr>
        <w:tc>
          <w:tcPr>
            <w:tcW w:type="dxa" w:w="9666"/>
            <w:tcBorders>
              <w:bottom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11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demment appliqué était manifestement sous-évalué.</w:t>
            </w:r>
          </w:p>
        </w:tc>
      </w:tr>
    </w:tbl>
    <w:p>
      <w:pPr>
        <w:autoSpaceDN w:val="0"/>
        <w:autoSpaceDE w:val="0"/>
        <w:widowControl/>
        <w:spacing w:line="278" w:lineRule="exact" w:before="3220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16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1587500</wp:posOffset>
            </wp:positionV>
            <wp:extent cx="6299200" cy="99060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990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NON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.999999999999943" w:type="dxa"/>
      </w:tblPr>
      <w:tblGrid>
        <w:gridCol w:w="4973"/>
        <w:gridCol w:w="4973"/>
      </w:tblGrid>
      <w:tr>
        <w:trPr>
          <w:trHeight w:hRule="exact" w:val="1124"/>
        </w:trPr>
        <w:tc>
          <w:tcPr>
            <w:tcW w:type="dxa" w:w="9874"/>
            <w:gridSpan w:val="2"/>
            <w:tcBorders>
              <w:top w:sz="4.0" w:val="single" w:color="#708095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9874"/>
            </w:tblGrid>
            <w:tr>
              <w:trPr>
                <w:trHeight w:hRule="exact" w:val="626"/>
              </w:trPr>
              <w:tc>
                <w:tcPr>
                  <w:tcW w:type="dxa" w:w="9864"/>
                  <w:tcBorders/>
                  <w:shd w:fill="1e518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82" w:lineRule="exact" w:before="142" w:after="0"/>
                    <w:ind w:left="280" w:right="0" w:firstLine="0"/>
                    <w:jc w:val="left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FFFFFF"/>
                      <w:sz w:val="28"/>
                    </w:rPr>
                    <w:t>XII) SIGNATURES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006"/>
        </w:trPr>
        <w:tc>
          <w:tcPr>
            <w:tcW w:type="dxa" w:w="52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30" w:lineRule="exact" w:before="416" w:after="0"/>
              <w:ind w:left="0" w:right="68" w:firstLine="0"/>
              <w:jc w:val="right"/>
            </w:pPr>
            <w:r>
              <w:rPr>
                <w:rFonts w:ascii=".SF NS" w:hAnsi=".SF NS" w:eastAsia=".SF NS"/>
                <w:b w:val="0"/>
                <w:i w:val="0"/>
                <w:color w:val="288228"/>
                <w:sz w:val="28"/>
              </w:rPr>
              <w:t>✓</w:t>
            </w:r>
          </w:p>
        </w:tc>
        <w:tc>
          <w:tcPr>
            <w:tcW w:type="dxa" w:w="935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50" w:after="0"/>
              <w:ind w:left="102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Signatures des parties contractantes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Les parties reconnaissent avoir pris connaissance du présent contrat et de ses annexes, et</w:t>
            </w:r>
          </w:p>
        </w:tc>
      </w:tr>
    </w:tbl>
    <w:p>
      <w:pPr>
        <w:autoSpaceDN w:val="0"/>
        <w:autoSpaceDE w:val="0"/>
        <w:widowControl/>
        <w:spacing w:line="278" w:lineRule="exact" w:before="18" w:after="0"/>
        <w:ind w:left="65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s’engagent à en respecter toutes les dispositions.</w:t>
      </w:r>
    </w:p>
    <w:p>
      <w:pPr>
        <w:autoSpaceDN w:val="0"/>
        <w:autoSpaceDE w:val="0"/>
        <w:widowControl/>
        <w:spacing w:line="246" w:lineRule="exact" w:before="110" w:after="512"/>
        <w:ind w:left="652" w:right="0" w:firstLine="0"/>
        <w:jc w:val="left"/>
      </w:pPr>
      <w:r>
        <w:rPr>
          <w:rFonts w:ascii="Avenir Black" w:hAnsi="Avenir Black" w:eastAsia="Avenir Black"/>
          <w:b/>
          <w:i w:val="0"/>
          <w:color w:val="555D64"/>
          <w:sz w:val="18"/>
        </w:rPr>
        <w:t>Ce document sera signé électroniquement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46"/>
      </w:tblGrid>
      <w:tr>
        <w:trPr>
          <w:trHeight w:hRule="exact" w:val="528"/>
        </w:trPr>
        <w:tc>
          <w:tcPr>
            <w:tcW w:type="dxa" w:w="9666"/>
            <w:tcBorders>
              <w:top w:sz="8.0" w:val="single" w:color="#1E5182"/>
            </w:tcBorders>
            <w:shd w:fill="e8ed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82" w:after="0"/>
              <w:ind w:left="15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1"/>
              </w:rPr>
              <w:t>DATE ET LIEU DE SIGNATURE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46"/>
      </w:tblGrid>
      <w:tr>
        <w:trPr>
          <w:trHeight w:hRule="exact" w:val="544"/>
        </w:trPr>
        <w:tc>
          <w:tcPr>
            <w:tcW w:type="dxa" w:w="9666"/>
            <w:tcBorders>
              <w:bottom w:sz="8.0" w:val="single" w:color="#1E5182"/>
            </w:tcBorders>
            <w:shd w:fill="e8ed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52" w:after="0"/>
              <w:ind w:left="15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4"/>
              </w:rPr>
              <w:t xml:space="preserve">Fait le 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4"/>
              </w:rPr>
              <w:t xml:space="preserve">___________ 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4"/>
              </w:rPr>
              <w:t xml:space="preserve">, à 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4"/>
              </w:rPr>
              <w:t>___________</w:t>
            </w:r>
          </w:p>
        </w:tc>
      </w:tr>
    </w:tbl>
    <w:p>
      <w:pPr>
        <w:autoSpaceDN w:val="0"/>
        <w:autoSpaceDE w:val="0"/>
        <w:widowControl/>
        <w:spacing w:line="438" w:lineRule="exact" w:before="266" w:after="212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1F5183"/>
          <w:sz w:val="32"/>
        </w:rPr>
        <w:t>SIGNATURES</w:t>
      </w:r>
    </w:p>
    <w:p>
      <w:pPr>
        <w:sectPr>
          <w:pgSz w:w="11906" w:h="16838"/>
          <w:pgMar w:top="412" w:right="970" w:bottom="446" w:left="990" w:header="720" w:footer="720" w:gutter="0"/>
          <w:cols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46"/>
      </w:tblGrid>
      <w:tr>
        <w:trPr>
          <w:trHeight w:hRule="exact" w:val="774"/>
        </w:trPr>
        <w:tc>
          <w:tcPr>
            <w:tcW w:type="dxa" w:w="4522"/>
            <w:tcBorders>
              <w:top w:sz="24.0" w:val="single" w:color="#418BC9"/>
            </w:tcBorders>
            <w:shd w:fill="f5f9f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310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428BCA"/>
                <w:sz w:val="28"/>
              </w:rPr>
              <w:t>BAILLEUR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46"/>
      </w:tblGrid>
      <w:tr>
        <w:trPr>
          <w:trHeight w:hRule="exact" w:val="6028"/>
        </w:trPr>
        <w:tc>
          <w:tcPr>
            <w:tcW w:type="dxa" w:w="4522"/>
            <w:tcBorders>
              <w:bottom w:sz="24.0" w:val="single" w:color="#418BC9"/>
            </w:tcBorders>
            <w:shd w:fill="f5f9f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54" w:after="0"/>
              <w:ind w:left="0" w:right="0" w:firstLine="0"/>
              <w:jc w:val="center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2"/>
              </w:rPr>
              <w:t>Lu et approuvé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type w:val="continuous"/>
          <w:pgSz w:w="11906" w:h="16838"/>
          <w:pgMar w:top="412" w:right="970" w:bottom="446" w:left="990" w:header="720" w:footer="720" w:gutter="0"/>
          <w:cols w:num="2" w:equalWidth="0">
            <w:col w:w="4962" w:space="0"/>
            <w:col w:w="4983" w:space="0"/>
          </w:cols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10.0" w:type="dxa"/>
      </w:tblPr>
      <w:tblGrid>
        <w:gridCol w:w="9946"/>
      </w:tblGrid>
      <w:tr>
        <w:trPr>
          <w:trHeight w:hRule="exact" w:val="7038"/>
        </w:trPr>
        <w:tc>
          <w:tcPr>
            <w:tcW w:type="dxa" w:w="4524"/>
            <w:tcBorders>
              <w:top w:sz="24.0" w:val="single" w:color="#C78C27"/>
            </w:tcBorders>
            <w:shd w:fill="fcf9f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400" w:after="0"/>
              <w:ind w:left="1296" w:right="1296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8"/>
              </w:rPr>
              <w:t xml:space="preserve">LOCATAIRE(S) </w:t>
            </w:r>
            <w:r>
              <w:br/>
            </w: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2"/>
              </w:rPr>
              <w:t>Lu et approuvé</w:t>
            </w:r>
          </w:p>
        </w:tc>
      </w:tr>
      <w:tr>
        <w:trPr>
          <w:trHeight w:hRule="exact" w:val="100"/>
        </w:trPr>
        <w:tc>
          <w:tcPr>
            <w:tcW w:type="dxa" w:w="4524"/>
            <w:tcBorders>
              <w:bottom w:sz="24.0" w:val="single" w:color="#C78C27"/>
            </w:tcBorders>
            <w:shd w:fill="fcf9f4"/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78" w:lineRule="exact" w:before="2060" w:after="0"/>
        <w:ind w:left="0" w:right="5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17</w:t>
      </w:r>
    </w:p>
    <w:sectPr w:rsidR="00FC693F" w:rsidRPr="0006063C" w:rsidSect="00034616">
      <w:type w:val="nextColumn"/>
      <w:pgSz w:w="11906" w:h="16838"/>
      <w:pgMar w:top="412" w:right="970" w:bottom="446" w:left="990" w:header="720" w:footer="720" w:gutter="0"/>
      <w:cols w:num="2" w:equalWidth="0">
        <w:col w:w="4962" w:space="0"/>
        <w:col w:w="4983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